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13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p>
    <w:p w14:paraId="4DB6638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p>
    <w:p w14:paraId="472249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p>
    <w:p w14:paraId="230B15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p>
    <w:p w14:paraId="0B6CCA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r>
        <w:rPr>
          <w:rStyle w:val="5"/>
          <w:rFonts w:hint="eastAsia" w:ascii="方正小标宋简体" w:hAnsi="方正小标宋简体" w:eastAsia="方正小标宋简体" w:cs="方正小标宋简体"/>
          <w:b w:val="0"/>
          <w:bCs w:val="0"/>
          <w:i w:val="0"/>
          <w:iCs w:val="0"/>
          <w:caps w:val="0"/>
          <w:color w:val="0F1115"/>
          <w:spacing w:val="0"/>
          <w:sz w:val="44"/>
          <w:szCs w:val="44"/>
          <w:shd w:val="clear" w:fill="FFFFFF"/>
        </w:rPr>
        <w:t>2025年度法治政府建设情况报告</w:t>
      </w:r>
    </w:p>
    <w:p w14:paraId="70D801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60" w:lineRule="exact"/>
        <w:ind w:left="0" w:right="0" w:firstLine="0"/>
        <w:jc w:val="center"/>
        <w:textAlignment w:val="auto"/>
        <w:rPr>
          <w:rStyle w:val="5"/>
          <w:rFonts w:hint="eastAsia" w:ascii="方正小标宋简体" w:hAnsi="方正小标宋简体" w:eastAsia="方正小标宋简体" w:cs="方正小标宋简体"/>
          <w:b/>
          <w:bCs/>
          <w:i w:val="0"/>
          <w:iCs w:val="0"/>
          <w:caps w:val="0"/>
          <w:color w:val="0F1115"/>
          <w:spacing w:val="0"/>
          <w:sz w:val="44"/>
          <w:szCs w:val="44"/>
          <w:shd w:val="clear" w:fill="FFFFFF"/>
        </w:rPr>
      </w:pPr>
    </w:p>
    <w:p w14:paraId="6A7C60F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lang w:eastAsia="zh-CN"/>
        </w:rPr>
      </w:pPr>
      <w:r>
        <w:rPr>
          <w:rFonts w:hint="eastAsia" w:ascii="仿宋_GB2312" w:hAnsi="仿宋_GB2312" w:eastAsia="仿宋_GB2312" w:cs="仿宋_GB2312"/>
          <w:i w:val="0"/>
          <w:iCs w:val="0"/>
          <w:caps w:val="0"/>
          <w:color w:val="0F1115"/>
          <w:spacing w:val="0"/>
          <w:sz w:val="32"/>
          <w:szCs w:val="32"/>
          <w:shd w:val="clear" w:fill="FFFFFF"/>
        </w:rPr>
        <w:t>2025年，枣庄市信访局坚持以习近平新时代中国特色社会主义思想为指导，全面贯彻党的二十大和二十届</w:t>
      </w:r>
      <w:r>
        <w:rPr>
          <w:rFonts w:hint="eastAsia" w:ascii="仿宋_GB2312" w:hAnsi="仿宋_GB2312" w:eastAsia="仿宋_GB2312" w:cs="仿宋_GB2312"/>
          <w:i w:val="0"/>
          <w:iCs w:val="0"/>
          <w:caps w:val="0"/>
          <w:color w:val="0F1115"/>
          <w:spacing w:val="0"/>
          <w:sz w:val="32"/>
          <w:szCs w:val="32"/>
          <w:shd w:val="clear" w:fill="FFFFFF"/>
          <w:lang w:val="en-US" w:eastAsia="zh-CN"/>
        </w:rPr>
        <w:t>历次</w:t>
      </w:r>
      <w:r>
        <w:rPr>
          <w:rFonts w:hint="eastAsia" w:ascii="仿宋_GB2312" w:hAnsi="仿宋_GB2312" w:eastAsia="仿宋_GB2312" w:cs="仿宋_GB2312"/>
          <w:i w:val="0"/>
          <w:iCs w:val="0"/>
          <w:caps w:val="0"/>
          <w:color w:val="0F1115"/>
          <w:spacing w:val="0"/>
          <w:sz w:val="32"/>
          <w:szCs w:val="32"/>
          <w:shd w:val="clear" w:fill="FFFFFF"/>
        </w:rPr>
        <w:t>全会精神，深入践行习近平法治思想及习近平总书记关于加强和改进人民信访工作的重要论述，严格落实市委、市政府关于法治枣庄建设的决策部署，以全面推进信访工作法治化为总抓手，依法履职，担当作为，全力维护群众合法权益与社会和谐稳定，法治政府建设取得新成效。现将有关情况报告如下</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618968A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5"/>
          <w:rFonts w:hint="eastAsia" w:ascii="黑体" w:hAnsi="黑体" w:eastAsia="黑体" w:cs="黑体"/>
          <w:b w:val="0"/>
          <w:bCs w:val="0"/>
          <w:i w:val="0"/>
          <w:iCs w:val="0"/>
          <w:caps w:val="0"/>
          <w:color w:val="0F1115"/>
          <w:spacing w:val="0"/>
          <w:sz w:val="32"/>
          <w:szCs w:val="32"/>
          <w:shd w:val="clear" w:fill="FFFFFF"/>
        </w:rPr>
      </w:pPr>
      <w:r>
        <w:rPr>
          <w:rStyle w:val="5"/>
          <w:rFonts w:hint="eastAsia" w:ascii="黑体" w:hAnsi="黑体" w:eastAsia="黑体" w:cs="黑体"/>
          <w:b w:val="0"/>
          <w:bCs w:val="0"/>
          <w:i w:val="0"/>
          <w:iCs w:val="0"/>
          <w:caps w:val="0"/>
          <w:color w:val="0F1115"/>
          <w:spacing w:val="0"/>
          <w:sz w:val="32"/>
          <w:szCs w:val="32"/>
          <w:shd w:val="clear" w:fill="FFFFFF"/>
        </w:rPr>
        <w:t>一、2025年度推进法治政府建设的主要举措和成效</w:t>
      </w:r>
    </w:p>
    <w:p w14:paraId="7C818F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Style w:val="5"/>
          <w:rFonts w:hint="eastAsia" w:ascii="楷体_GB2312" w:hAnsi="楷体_GB2312" w:eastAsia="楷体_GB2312" w:cs="楷体_GB2312"/>
          <w:b w:val="0"/>
          <w:bCs w:val="0"/>
          <w:i w:val="0"/>
          <w:iCs w:val="0"/>
          <w:caps w:val="0"/>
          <w:color w:val="0F1115"/>
          <w:spacing w:val="0"/>
          <w:sz w:val="32"/>
          <w:szCs w:val="32"/>
          <w:shd w:val="clear" w:fill="FFFFFF"/>
        </w:rPr>
        <w:t>（一）健全政府机构职能体系，压实法治建设责任。</w:t>
      </w:r>
      <w:r>
        <w:rPr>
          <w:rFonts w:hint="eastAsia" w:ascii="仿宋_GB2312" w:hAnsi="仿宋_GB2312" w:eastAsia="仿宋_GB2312" w:cs="仿宋_GB2312"/>
          <w:i w:val="0"/>
          <w:iCs w:val="0"/>
          <w:caps w:val="0"/>
          <w:color w:val="0F1115"/>
          <w:spacing w:val="0"/>
          <w:sz w:val="32"/>
          <w:szCs w:val="32"/>
          <w:shd w:val="clear" w:fill="FFFFFF"/>
        </w:rPr>
        <w:t> 坚持将信访工作纳入全市发展大局统筹推进，顶格调整市信访工作联席会议，由市委、市政府主要负责同志担任总召集人，高位推动工作。局主要领导切实履行推进法治建设第一责任人职责，主持召开法治专题会议4次，周例会研究部署法治化工作20余次，修订完善职责清单，构建齐抓共管格局。将信访工作法治化、“四应四不”等要求纳入对区（市）及市直单位高质量发展绩效考核，成立6个督导组常态化检查，确保责任层层传导、任务有效落实。</w:t>
      </w:r>
    </w:p>
    <w:p w14:paraId="0583C4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Style w:val="5"/>
          <w:rFonts w:hint="eastAsia" w:ascii="楷体_GB2312" w:hAnsi="楷体_GB2312" w:eastAsia="楷体_GB2312" w:cs="楷体_GB2312"/>
          <w:b w:val="0"/>
          <w:bCs w:val="0"/>
          <w:i w:val="0"/>
          <w:iCs w:val="0"/>
          <w:caps w:val="0"/>
          <w:color w:val="0F1115"/>
          <w:spacing w:val="0"/>
          <w:sz w:val="32"/>
          <w:szCs w:val="32"/>
          <w:shd w:val="clear" w:fill="FFFFFF"/>
        </w:rPr>
        <w:t>（二）健全依法行政制度体系，深化信访法治实践。 </w:t>
      </w:r>
      <w:r>
        <w:rPr>
          <w:rFonts w:hint="eastAsia" w:ascii="仿宋_GB2312" w:hAnsi="仿宋_GB2312" w:eastAsia="仿宋_GB2312" w:cs="仿宋_GB2312"/>
          <w:i w:val="0"/>
          <w:iCs w:val="0"/>
          <w:caps w:val="0"/>
          <w:color w:val="0F1115"/>
          <w:spacing w:val="0"/>
          <w:sz w:val="32"/>
          <w:szCs w:val="32"/>
          <w:shd w:val="clear" w:fill="FFFFFF"/>
        </w:rPr>
        <w:t>着力打通信访法治化“路线图”，修订完善《枣庄市信访事项依法分类处理工作指引》，规范受理办理流程。建立申诉求决类初次信访事项办理跟踪台账，落实全流程闭环管理。严格推行信访部门答复预审、责任单位“双审双签”制度，推动合理诉求一次性解决。建立受理办理不规范问题月通报制度，全年下发通报5期，整改问题122项，有效提升工作规范化水平。</w:t>
      </w:r>
    </w:p>
    <w:p w14:paraId="597BDE8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Style w:val="5"/>
          <w:rFonts w:hint="eastAsia" w:ascii="楷体_GB2312" w:hAnsi="楷体_GB2312" w:eastAsia="楷体_GB2312" w:cs="楷体_GB2312"/>
          <w:b w:val="0"/>
          <w:bCs w:val="0"/>
          <w:i w:val="0"/>
          <w:iCs w:val="0"/>
          <w:caps w:val="0"/>
          <w:color w:val="0F1115"/>
          <w:spacing w:val="0"/>
          <w:sz w:val="32"/>
          <w:szCs w:val="32"/>
          <w:shd w:val="clear" w:fill="FFFFFF"/>
        </w:rPr>
        <w:t>（三）健全行政决策程序体系，提升依法决策水平。</w:t>
      </w:r>
      <w:r>
        <w:rPr>
          <w:rFonts w:hint="eastAsia" w:ascii="仿宋_GB2312" w:hAnsi="仿宋_GB2312" w:eastAsia="仿宋_GB2312" w:cs="仿宋_GB2312"/>
          <w:i w:val="0"/>
          <w:iCs w:val="0"/>
          <w:caps w:val="0"/>
          <w:color w:val="0F1115"/>
          <w:spacing w:val="0"/>
          <w:sz w:val="32"/>
          <w:szCs w:val="32"/>
          <w:shd w:val="clear" w:fill="FFFFFF"/>
        </w:rPr>
        <w:t> 严格执行“三重一大”事项集体决策和民主集中制，确保重大决策依法依规。充分发挥法律顾问作用，在重大决策、复杂案件听证、复查复核等环节引入专业法律意见，保障决策的合法性与科学性。实行决策结果公开，除依法保密外，均通过局网站向社会公开，自觉接受监督。</w:t>
      </w:r>
    </w:p>
    <w:p w14:paraId="7EFA66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b w:val="0"/>
          <w:bCs w:val="0"/>
          <w:sz w:val="32"/>
          <w:szCs w:val="32"/>
        </w:rPr>
      </w:pPr>
      <w:r>
        <w:rPr>
          <w:rStyle w:val="5"/>
          <w:rFonts w:hint="eastAsia" w:ascii="楷体_GB2312" w:hAnsi="楷体_GB2312" w:eastAsia="楷体_GB2312" w:cs="楷体_GB2312"/>
          <w:b w:val="0"/>
          <w:bCs w:val="0"/>
          <w:i w:val="0"/>
          <w:iCs w:val="0"/>
          <w:caps w:val="0"/>
          <w:color w:val="0F1115"/>
          <w:spacing w:val="0"/>
          <w:sz w:val="32"/>
          <w:szCs w:val="32"/>
          <w:shd w:val="clear" w:fill="FFFFFF"/>
        </w:rPr>
        <w:t>（四）健全社会矛盾纠纷行政预防调处化解体系，提升源头治理效能。</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一是</w:t>
      </w:r>
      <w:r>
        <w:rPr>
          <w:rStyle w:val="5"/>
          <w:rFonts w:hint="eastAsia" w:ascii="仿宋_GB2312" w:hAnsi="仿宋_GB2312" w:eastAsia="仿宋_GB2312" w:cs="仿宋_GB2312"/>
          <w:b w:val="0"/>
          <w:bCs w:val="0"/>
          <w:i w:val="0"/>
          <w:iCs w:val="0"/>
          <w:caps w:val="0"/>
          <w:color w:val="0F1115"/>
          <w:spacing w:val="0"/>
          <w:sz w:val="32"/>
          <w:szCs w:val="32"/>
          <w:shd w:val="clear" w:fill="FFFFFF"/>
        </w:rPr>
        <w:t>强化系统治理控增量。</w:t>
      </w:r>
      <w:r>
        <w:rPr>
          <w:rFonts w:hint="eastAsia" w:ascii="仿宋_GB2312" w:hAnsi="仿宋_GB2312" w:eastAsia="仿宋_GB2312" w:cs="仿宋_GB2312"/>
          <w:b w:val="0"/>
          <w:bCs w:val="0"/>
          <w:i w:val="0"/>
          <w:iCs w:val="0"/>
          <w:caps w:val="0"/>
          <w:color w:val="0F1115"/>
          <w:spacing w:val="0"/>
          <w:sz w:val="32"/>
          <w:szCs w:val="32"/>
          <w:shd w:val="clear" w:fill="FFFFFF"/>
        </w:rPr>
        <w:t> 修订进京访量化管理制度，出台《关于加强越级访治理的六条措施》，对进京赴省访坚持日复盘、周调度、月研判，压实治理责任。</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今年以来</w:t>
      </w:r>
      <w:r>
        <w:rPr>
          <w:rFonts w:hint="eastAsia" w:ascii="仿宋_GB2312" w:hAnsi="仿宋_GB2312" w:eastAsia="仿宋_GB2312" w:cs="仿宋_GB2312"/>
          <w:b w:val="0"/>
          <w:bCs w:val="0"/>
          <w:i w:val="0"/>
          <w:iCs w:val="0"/>
          <w:caps w:val="0"/>
          <w:color w:val="0F1115"/>
          <w:spacing w:val="0"/>
          <w:sz w:val="32"/>
          <w:szCs w:val="32"/>
          <w:shd w:val="clear" w:fill="FFFFFF"/>
        </w:rPr>
        <w:t>，进京走访</w:t>
      </w:r>
      <w:r>
        <w:rPr>
          <w:rFonts w:hint="eastAsia" w:ascii="仿宋_GB2312" w:hAnsi="仿宋_GB2312" w:eastAsia="仿宋_GB2312" w:cs="仿宋_GB2312"/>
          <w:sz w:val="32"/>
          <w:szCs w:val="32"/>
          <w:lang w:val="en-US" w:eastAsia="zh-CN"/>
        </w:rPr>
        <w:t>位列</w:t>
      </w:r>
      <w:r>
        <w:rPr>
          <w:rFonts w:hint="eastAsia" w:ascii="仿宋_GB2312" w:hAnsi="仿宋_GB2312" w:eastAsia="仿宋_GB2312" w:cs="仿宋_GB2312"/>
          <w:b w:val="0"/>
          <w:bCs w:val="0"/>
          <w:i w:val="0"/>
          <w:iCs w:val="0"/>
          <w:caps w:val="0"/>
          <w:color w:val="0F1115"/>
          <w:spacing w:val="0"/>
          <w:sz w:val="32"/>
          <w:szCs w:val="32"/>
          <w:shd w:val="clear" w:fill="FFFFFF"/>
        </w:rPr>
        <w:t>全省第13位</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 w:val="0"/>
          <w:bCs w:val="0"/>
          <w:i w:val="0"/>
          <w:iCs w:val="0"/>
          <w:caps w:val="0"/>
          <w:color w:val="0F1115"/>
          <w:spacing w:val="0"/>
          <w:sz w:val="32"/>
          <w:szCs w:val="32"/>
          <w:shd w:val="clear" w:fill="FFFFFF"/>
        </w:rPr>
        <w:t>越级访态势得到有效控制。</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二是</w:t>
      </w:r>
      <w:r>
        <w:rPr>
          <w:rStyle w:val="5"/>
          <w:rFonts w:hint="eastAsia" w:ascii="仿宋_GB2312" w:hAnsi="仿宋_GB2312" w:eastAsia="仿宋_GB2312" w:cs="仿宋_GB2312"/>
          <w:b w:val="0"/>
          <w:bCs w:val="0"/>
          <w:i w:val="0"/>
          <w:iCs w:val="0"/>
          <w:caps w:val="0"/>
          <w:color w:val="0F1115"/>
          <w:spacing w:val="0"/>
          <w:sz w:val="32"/>
          <w:szCs w:val="32"/>
          <w:shd w:val="clear" w:fill="FFFFFF"/>
        </w:rPr>
        <w:t>做实公开接访吸附化解。</w:t>
      </w:r>
      <w:r>
        <w:rPr>
          <w:rFonts w:hint="eastAsia" w:ascii="仿宋_GB2312" w:hAnsi="仿宋_GB2312" w:eastAsia="仿宋_GB2312" w:cs="仿宋_GB2312"/>
          <w:b w:val="0"/>
          <w:bCs w:val="0"/>
          <w:i w:val="0"/>
          <w:iCs w:val="0"/>
          <w:caps w:val="0"/>
          <w:color w:val="0F1115"/>
          <w:spacing w:val="0"/>
          <w:sz w:val="32"/>
          <w:szCs w:val="32"/>
          <w:shd w:val="clear" w:fill="FFFFFF"/>
        </w:rPr>
        <w:t> 创新开展市、区（市）、镇街三级领导干部“大接访”活动，提前公示、定时坐班。落实“接访即签批、跟踪督办、限期反馈、定期回访”闭环机制。</w:t>
      </w:r>
      <w:r>
        <w:rPr>
          <w:rFonts w:hint="eastAsia" w:ascii="仿宋_GB2312" w:hAnsi="仿宋_GB2312" w:eastAsia="仿宋_GB2312" w:cs="仿宋_GB2312"/>
          <w:sz w:val="32"/>
          <w:szCs w:val="32"/>
          <w:lang w:val="en-US" w:eastAsia="zh-CN"/>
        </w:rPr>
        <w:t>市、区、镇三级领导干部共接待群众来访3737批8351人次，化解信访事项2578件，化解率68.99%，有效发挥了就地吸附人员、就近解决问题、促进社会稳定的作用</w:t>
      </w:r>
      <w:r>
        <w:rPr>
          <w:rFonts w:hint="eastAsia" w:ascii="仿宋_GB2312" w:hAnsi="仿宋_GB2312" w:eastAsia="仿宋_GB2312" w:cs="仿宋_GB2312"/>
          <w:b w:val="0"/>
          <w:bCs w:val="0"/>
          <w:i w:val="0"/>
          <w:iCs w:val="0"/>
          <w:caps w:val="0"/>
          <w:color w:val="0F1115"/>
          <w:spacing w:val="0"/>
          <w:sz w:val="32"/>
          <w:szCs w:val="32"/>
          <w:shd w:val="clear" w:fill="FFFFFF"/>
        </w:rPr>
        <w:t>。</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三是</w:t>
      </w:r>
      <w:r>
        <w:rPr>
          <w:rStyle w:val="5"/>
          <w:rFonts w:hint="eastAsia" w:ascii="仿宋_GB2312" w:hAnsi="仿宋_GB2312" w:eastAsia="仿宋_GB2312" w:cs="仿宋_GB2312"/>
          <w:b w:val="0"/>
          <w:bCs w:val="0"/>
          <w:i w:val="0"/>
          <w:iCs w:val="0"/>
          <w:caps w:val="0"/>
          <w:color w:val="0F1115"/>
          <w:spacing w:val="0"/>
          <w:sz w:val="32"/>
          <w:szCs w:val="32"/>
          <w:shd w:val="clear" w:fill="FFFFFF"/>
        </w:rPr>
        <w:t>聚力包案攻坚减存量。</w:t>
      </w:r>
      <w:r>
        <w:rPr>
          <w:rFonts w:hint="eastAsia" w:ascii="仿宋_GB2312" w:hAnsi="仿宋_GB2312" w:eastAsia="仿宋_GB2312" w:cs="仿宋_GB2312"/>
          <w:b w:val="0"/>
          <w:bCs w:val="0"/>
          <w:i w:val="0"/>
          <w:iCs w:val="0"/>
          <w:caps w:val="0"/>
          <w:color w:val="0F1115"/>
          <w:spacing w:val="0"/>
          <w:sz w:val="32"/>
          <w:szCs w:val="32"/>
          <w:shd w:val="clear" w:fill="FFFFFF"/>
        </w:rPr>
        <w:t> 组织开展两批市级领导包案化解积案活动，</w:t>
      </w:r>
      <w:r>
        <w:rPr>
          <w:rFonts w:hint="eastAsia" w:ascii="仿宋_GB2312" w:hAnsi="仿宋_GB2312" w:eastAsia="仿宋_GB2312" w:cs="仿宋_GB2312"/>
          <w:sz w:val="32"/>
          <w:szCs w:val="32"/>
          <w:lang w:val="en-US" w:eastAsia="zh-CN"/>
        </w:rPr>
        <w:t>市级领导帮包第一批248件信访事项已化解242件，化解率97.58%；市级领导帮包第二批240件信访事项已化解218件，化解率90.83%，有力推动了我市存量问题实质减少、突出矛盾明显缓解。</w:t>
      </w:r>
      <w:r>
        <w:rPr>
          <w:rFonts w:hint="eastAsia" w:ascii="仿宋_GB2312" w:hAnsi="仿宋_GB2312" w:eastAsia="仿宋_GB2312" w:cs="仿宋_GB2312"/>
          <w:b w:val="0"/>
          <w:bCs w:val="0"/>
          <w:i w:val="0"/>
          <w:iCs w:val="0"/>
          <w:caps w:val="0"/>
          <w:color w:val="0F1115"/>
          <w:spacing w:val="0"/>
          <w:sz w:val="32"/>
          <w:szCs w:val="32"/>
          <w:shd w:val="clear" w:fill="FFFFFF"/>
        </w:rPr>
        <w:t>带动中央巡视组移交事项办结率、化解率居全省前列，省级领导帮包积案全部化解，房地产等重点领域突出问题化解率</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显著提升</w:t>
      </w:r>
      <w:r>
        <w:rPr>
          <w:rFonts w:hint="eastAsia" w:ascii="仿宋_GB2312" w:hAnsi="仿宋_GB2312" w:eastAsia="仿宋_GB2312" w:cs="仿宋_GB2312"/>
          <w:b w:val="0"/>
          <w:bCs w:val="0"/>
          <w:i w:val="0"/>
          <w:iCs w:val="0"/>
          <w:caps w:val="0"/>
          <w:color w:val="0F1115"/>
          <w:spacing w:val="0"/>
          <w:sz w:val="32"/>
          <w:szCs w:val="32"/>
          <w:shd w:val="clear" w:fill="FFFFFF"/>
        </w:rPr>
        <w:t>。</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四是</w:t>
      </w:r>
      <w:r>
        <w:rPr>
          <w:rStyle w:val="5"/>
          <w:rFonts w:hint="eastAsia" w:ascii="仿宋_GB2312" w:hAnsi="仿宋_GB2312" w:eastAsia="仿宋_GB2312" w:cs="仿宋_GB2312"/>
          <w:b w:val="0"/>
          <w:bCs w:val="0"/>
          <w:i w:val="0"/>
          <w:iCs w:val="0"/>
          <w:caps w:val="0"/>
          <w:color w:val="0F1115"/>
          <w:spacing w:val="0"/>
          <w:sz w:val="32"/>
          <w:szCs w:val="32"/>
          <w:shd w:val="clear" w:fill="FFFFFF"/>
        </w:rPr>
        <w:t>落实分级管控防变量。</w:t>
      </w:r>
      <w:r>
        <w:rPr>
          <w:rFonts w:hint="eastAsia" w:ascii="仿宋_GB2312" w:hAnsi="仿宋_GB2312" w:eastAsia="仿宋_GB2312" w:cs="仿宋_GB2312"/>
          <w:b w:val="0"/>
          <w:bCs w:val="0"/>
          <w:i w:val="0"/>
          <w:iCs w:val="0"/>
          <w:caps w:val="0"/>
          <w:color w:val="0F1115"/>
          <w:spacing w:val="0"/>
          <w:sz w:val="32"/>
          <w:szCs w:val="32"/>
          <w:shd w:val="clear" w:fill="FFFFFF"/>
        </w:rPr>
        <w:t> 常态化拉网式排查隐患，建立高、中、低风险三类人员台账，落实分级包案和“多包一”稳控措施。重点时期牢牢守住“三个不发生”底线，有效维护社会大局稳定。</w:t>
      </w:r>
    </w:p>
    <w:p w14:paraId="4677FF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b w:val="0"/>
          <w:bCs w:val="0"/>
          <w:sz w:val="32"/>
          <w:szCs w:val="32"/>
        </w:rPr>
      </w:pPr>
      <w:r>
        <w:rPr>
          <w:rStyle w:val="5"/>
          <w:rFonts w:hint="eastAsia" w:ascii="楷体_GB2312" w:hAnsi="楷体_GB2312" w:eastAsia="楷体_GB2312" w:cs="楷体_GB2312"/>
          <w:b w:val="0"/>
          <w:bCs w:val="0"/>
          <w:i w:val="0"/>
          <w:iCs w:val="0"/>
          <w:caps w:val="0"/>
          <w:color w:val="0F1115"/>
          <w:spacing w:val="0"/>
          <w:sz w:val="32"/>
          <w:szCs w:val="32"/>
          <w:shd w:val="clear" w:fill="FFFFFF"/>
        </w:rPr>
        <w:t>（五）强化法治保障与宣传教育，营造依法信访氛围。</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一是</w:t>
      </w:r>
      <w:r>
        <w:rPr>
          <w:rStyle w:val="5"/>
          <w:rFonts w:hint="eastAsia" w:ascii="仿宋_GB2312" w:hAnsi="仿宋_GB2312" w:eastAsia="仿宋_GB2312" w:cs="仿宋_GB2312"/>
          <w:b w:val="0"/>
          <w:bCs w:val="0"/>
          <w:i w:val="0"/>
          <w:iCs w:val="0"/>
          <w:caps w:val="0"/>
          <w:color w:val="0F1115"/>
          <w:spacing w:val="0"/>
          <w:sz w:val="32"/>
          <w:szCs w:val="32"/>
          <w:shd w:val="clear" w:fill="FFFFFF"/>
        </w:rPr>
        <w:t>提升队伍法治素养。</w:t>
      </w:r>
      <w:r>
        <w:rPr>
          <w:rFonts w:hint="eastAsia" w:ascii="仿宋_GB2312" w:hAnsi="仿宋_GB2312" w:eastAsia="仿宋_GB2312" w:cs="仿宋_GB2312"/>
          <w:b w:val="0"/>
          <w:bCs w:val="0"/>
          <w:i w:val="0"/>
          <w:iCs w:val="0"/>
          <w:caps w:val="0"/>
          <w:color w:val="0F1115"/>
          <w:spacing w:val="0"/>
          <w:sz w:val="32"/>
          <w:szCs w:val="32"/>
          <w:shd w:val="clear" w:fill="FFFFFF"/>
        </w:rPr>
        <w:t>举办2025年全市信访工作高质量发展专题培训班，组织160余名干部封闭式培训，重点加强法治化建设专题辅导。推动全员参加国家工作人员普法考试，提升依法行政能力。</w:t>
      </w:r>
      <w:r>
        <w:rPr>
          <w:rStyle w:val="5"/>
          <w:rFonts w:hint="eastAsia" w:ascii="仿宋_GB2312" w:hAnsi="仿宋_GB2312" w:eastAsia="仿宋_GB2312" w:cs="仿宋_GB2312"/>
          <w:b w:val="0"/>
          <w:bCs w:val="0"/>
          <w:i w:val="0"/>
          <w:iCs w:val="0"/>
          <w:caps w:val="0"/>
          <w:color w:val="0F1115"/>
          <w:spacing w:val="0"/>
          <w:sz w:val="32"/>
          <w:szCs w:val="32"/>
          <w:shd w:val="clear" w:fill="FFFFFF"/>
          <w:lang w:val="en-US" w:eastAsia="zh-CN"/>
        </w:rPr>
        <w:t>二是</w:t>
      </w:r>
      <w:r>
        <w:rPr>
          <w:rStyle w:val="5"/>
          <w:rFonts w:hint="eastAsia" w:ascii="仿宋_GB2312" w:hAnsi="仿宋_GB2312" w:eastAsia="仿宋_GB2312" w:cs="仿宋_GB2312"/>
          <w:b w:val="0"/>
          <w:bCs w:val="0"/>
          <w:i w:val="0"/>
          <w:iCs w:val="0"/>
          <w:caps w:val="0"/>
          <w:color w:val="0F1115"/>
          <w:spacing w:val="0"/>
          <w:sz w:val="32"/>
          <w:szCs w:val="32"/>
          <w:shd w:val="clear" w:fill="FFFFFF"/>
        </w:rPr>
        <w:t>深入开展普法宣传。</w:t>
      </w:r>
      <w:r>
        <w:rPr>
          <w:rFonts w:hint="eastAsia" w:ascii="仿宋_GB2312" w:hAnsi="仿宋_GB2312" w:eastAsia="仿宋_GB2312" w:cs="仿宋_GB2312"/>
          <w:b w:val="0"/>
          <w:bCs w:val="0"/>
          <w:i w:val="0"/>
          <w:iCs w:val="0"/>
          <w:caps w:val="0"/>
          <w:color w:val="0F1115"/>
          <w:spacing w:val="0"/>
          <w:sz w:val="32"/>
          <w:szCs w:val="32"/>
          <w:shd w:val="clear" w:fill="FFFFFF"/>
        </w:rPr>
        <w:t> 举行《信访工作条例》暨信访工作法治化集中宣传月活动，市、区、镇街三级联动，设置宣传站点23处，发放资料2.9万余份，解答咨询2500余人次，推动“依法信访、遇事找法”理念深入人心。</w:t>
      </w:r>
    </w:p>
    <w:p w14:paraId="5B95A4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5"/>
          <w:rFonts w:hint="eastAsia" w:ascii="黑体" w:hAnsi="黑体" w:eastAsia="黑体" w:cs="黑体"/>
          <w:b w:val="0"/>
          <w:bCs w:val="0"/>
          <w:i w:val="0"/>
          <w:iCs w:val="0"/>
          <w:caps w:val="0"/>
          <w:color w:val="0F1115"/>
          <w:spacing w:val="0"/>
          <w:sz w:val="32"/>
          <w:szCs w:val="32"/>
          <w:shd w:val="clear" w:fill="FFFFFF"/>
        </w:rPr>
      </w:pPr>
      <w:r>
        <w:rPr>
          <w:rStyle w:val="5"/>
          <w:rFonts w:hint="eastAsia" w:ascii="黑体" w:hAnsi="黑体" w:eastAsia="黑体" w:cs="黑体"/>
          <w:b w:val="0"/>
          <w:bCs w:val="0"/>
          <w:i w:val="0"/>
          <w:iCs w:val="0"/>
          <w:caps w:val="0"/>
          <w:color w:val="0F1115"/>
          <w:spacing w:val="0"/>
          <w:sz w:val="32"/>
          <w:szCs w:val="32"/>
          <w:shd w:val="clear" w:fill="FFFFFF"/>
        </w:rPr>
        <w:t>二、2025年度推进法治政府建设存在的不足和原因</w:t>
      </w:r>
    </w:p>
    <w:p w14:paraId="55756C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b w:val="0"/>
          <w:bCs w:val="0"/>
          <w:i w:val="0"/>
          <w:iCs w:val="0"/>
          <w:caps w:val="0"/>
          <w:color w:val="0F1115"/>
          <w:spacing w:val="0"/>
          <w:sz w:val="32"/>
          <w:szCs w:val="32"/>
          <w:shd w:val="clear" w:fill="FFFFFF"/>
        </w:rPr>
      </w:pPr>
      <w:r>
        <w:rPr>
          <w:rStyle w:val="5"/>
          <w:rFonts w:hint="eastAsia" w:ascii="仿宋_GB2312" w:hAnsi="仿宋_GB2312" w:eastAsia="仿宋_GB2312" w:cs="仿宋_GB2312"/>
          <w:b w:val="0"/>
          <w:bCs w:val="0"/>
          <w:i w:val="0"/>
          <w:iCs w:val="0"/>
          <w:caps w:val="0"/>
          <w:color w:val="0F1115"/>
          <w:spacing w:val="0"/>
          <w:sz w:val="32"/>
          <w:szCs w:val="32"/>
          <w:shd w:val="clear" w:fill="FFFFFF"/>
        </w:rPr>
        <w:t>一是信访总量高位运行与矛盾上行压力并存。</w:t>
      </w:r>
      <w:r>
        <w:rPr>
          <w:rFonts w:hint="eastAsia" w:ascii="仿宋_GB2312" w:hAnsi="仿宋_GB2312" w:eastAsia="仿宋_GB2312" w:cs="仿宋_GB2312"/>
          <w:b w:val="0"/>
          <w:bCs w:val="0"/>
          <w:i w:val="0"/>
          <w:iCs w:val="0"/>
          <w:caps w:val="0"/>
          <w:color w:val="0F1115"/>
          <w:spacing w:val="0"/>
          <w:sz w:val="32"/>
          <w:szCs w:val="32"/>
          <w:shd w:val="clear" w:fill="FFFFFF"/>
        </w:rPr>
        <w:t> </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今年以来</w:t>
      </w:r>
      <w:r>
        <w:rPr>
          <w:rFonts w:hint="eastAsia" w:ascii="仿宋_GB2312" w:hAnsi="仿宋_GB2312" w:eastAsia="仿宋_GB2312" w:cs="仿宋_GB2312"/>
          <w:b w:val="0"/>
          <w:bCs w:val="0"/>
          <w:i w:val="0"/>
          <w:iCs w:val="0"/>
          <w:caps w:val="0"/>
          <w:color w:val="0F1115"/>
          <w:spacing w:val="0"/>
          <w:sz w:val="32"/>
          <w:szCs w:val="32"/>
          <w:shd w:val="clear" w:fill="FFFFFF"/>
        </w:rPr>
        <w:t>，四级信访部门共登记我市信访事项</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约</w:t>
      </w:r>
      <w:r>
        <w:rPr>
          <w:rFonts w:hint="eastAsia" w:ascii="仿宋_GB2312" w:hAnsi="仿宋_GB2312" w:eastAsia="仿宋_GB2312" w:cs="仿宋_GB2312"/>
          <w:b w:val="0"/>
          <w:bCs w:val="0"/>
          <w:i w:val="0"/>
          <w:iCs w:val="0"/>
          <w:caps w:val="0"/>
          <w:color w:val="0F1115"/>
          <w:spacing w:val="0"/>
          <w:sz w:val="32"/>
          <w:szCs w:val="32"/>
          <w:shd w:val="clear" w:fill="FFFFFF"/>
        </w:rPr>
        <w:t>1</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0F1115"/>
          <w:spacing w:val="0"/>
          <w:sz w:val="32"/>
          <w:szCs w:val="32"/>
          <w:shd w:val="clear" w:fill="FFFFFF"/>
        </w:rPr>
        <w:t>4</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万</w:t>
      </w:r>
      <w:r>
        <w:rPr>
          <w:rFonts w:hint="eastAsia" w:ascii="仿宋_GB2312" w:hAnsi="仿宋_GB2312" w:eastAsia="仿宋_GB2312" w:cs="仿宋_GB2312"/>
          <w:b w:val="0"/>
          <w:bCs w:val="0"/>
          <w:i w:val="0"/>
          <w:iCs w:val="0"/>
          <w:caps w:val="0"/>
          <w:color w:val="0F1115"/>
          <w:spacing w:val="0"/>
          <w:sz w:val="32"/>
          <w:szCs w:val="32"/>
          <w:shd w:val="clear" w:fill="FFFFFF"/>
        </w:rPr>
        <w:t>件次，同比增长29.15%</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 w:val="0"/>
          <w:bCs w:val="0"/>
          <w:i w:val="0"/>
          <w:iCs w:val="0"/>
          <w:caps w:val="0"/>
          <w:color w:val="0F1115"/>
          <w:spacing w:val="0"/>
          <w:sz w:val="32"/>
          <w:szCs w:val="32"/>
          <w:shd w:val="clear" w:fill="FFFFFF"/>
        </w:rPr>
        <w:t>化解存量、遏制增量任务艰巨。</w:t>
      </w:r>
    </w:p>
    <w:p w14:paraId="0AA600B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b w:val="0"/>
          <w:bCs w:val="0"/>
          <w:i w:val="0"/>
          <w:iCs w:val="0"/>
          <w:caps w:val="0"/>
          <w:color w:val="0F1115"/>
          <w:spacing w:val="0"/>
          <w:sz w:val="32"/>
          <w:szCs w:val="32"/>
          <w:shd w:val="clear" w:fill="FFFFFF"/>
        </w:rPr>
      </w:pPr>
      <w:r>
        <w:rPr>
          <w:rStyle w:val="5"/>
          <w:rFonts w:hint="eastAsia" w:ascii="仿宋_GB2312" w:hAnsi="仿宋_GB2312" w:eastAsia="仿宋_GB2312" w:cs="仿宋_GB2312"/>
          <w:b w:val="0"/>
          <w:bCs w:val="0"/>
          <w:i w:val="0"/>
          <w:iCs w:val="0"/>
          <w:caps w:val="0"/>
          <w:color w:val="0F1115"/>
          <w:spacing w:val="0"/>
          <w:sz w:val="32"/>
          <w:szCs w:val="32"/>
          <w:shd w:val="clear" w:fill="FFFFFF"/>
        </w:rPr>
        <w:t>二是重点领域矛盾化解仍需加力。</w:t>
      </w:r>
      <w:r>
        <w:rPr>
          <w:rFonts w:hint="eastAsia" w:ascii="仿宋_GB2312" w:hAnsi="仿宋_GB2312" w:eastAsia="仿宋_GB2312" w:cs="仿宋_GB2312"/>
          <w:b w:val="0"/>
          <w:bCs w:val="0"/>
          <w:i w:val="0"/>
          <w:iCs w:val="0"/>
          <w:caps w:val="0"/>
          <w:color w:val="0F1115"/>
          <w:spacing w:val="0"/>
          <w:sz w:val="32"/>
          <w:szCs w:val="32"/>
          <w:shd w:val="clear" w:fill="FFFFFF"/>
        </w:rPr>
        <w:t> 城乡建设、劳动社保、“双拖欠”、涉法涉</w:t>
      </w:r>
      <w:bookmarkStart w:id="0" w:name="_GoBack"/>
      <w:bookmarkEnd w:id="0"/>
      <w:r>
        <w:rPr>
          <w:rFonts w:hint="eastAsia" w:ascii="仿宋_GB2312" w:hAnsi="仿宋_GB2312" w:eastAsia="仿宋_GB2312" w:cs="仿宋_GB2312"/>
          <w:b w:val="0"/>
          <w:bCs w:val="0"/>
          <w:i w:val="0"/>
          <w:iCs w:val="0"/>
          <w:caps w:val="0"/>
          <w:color w:val="0F1115"/>
          <w:spacing w:val="0"/>
          <w:sz w:val="32"/>
          <w:szCs w:val="32"/>
          <w:shd w:val="clear" w:fill="FFFFFF"/>
        </w:rPr>
        <w:t>诉等领域问题集中，部分职能部门运用法治方式调处矛盾、源头预防的能力有待加强。</w:t>
      </w:r>
    </w:p>
    <w:p w14:paraId="1C81E9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b w:val="0"/>
          <w:bCs w:val="0"/>
          <w:i w:val="0"/>
          <w:iCs w:val="0"/>
          <w:caps w:val="0"/>
          <w:color w:val="0F1115"/>
          <w:spacing w:val="0"/>
          <w:sz w:val="32"/>
          <w:szCs w:val="32"/>
        </w:rPr>
      </w:pPr>
      <w:r>
        <w:rPr>
          <w:rStyle w:val="5"/>
          <w:rFonts w:hint="eastAsia" w:ascii="仿宋_GB2312" w:hAnsi="仿宋_GB2312" w:eastAsia="仿宋_GB2312" w:cs="仿宋_GB2312"/>
          <w:b w:val="0"/>
          <w:bCs w:val="0"/>
          <w:i w:val="0"/>
          <w:iCs w:val="0"/>
          <w:caps w:val="0"/>
          <w:color w:val="0F1115"/>
          <w:spacing w:val="0"/>
          <w:sz w:val="32"/>
          <w:szCs w:val="32"/>
          <w:shd w:val="clear" w:fill="FFFFFF"/>
        </w:rPr>
        <w:t>三是法治思维与业务融合深度有待提升。</w:t>
      </w:r>
      <w:r>
        <w:rPr>
          <w:rFonts w:hint="eastAsia" w:ascii="仿宋_GB2312" w:hAnsi="仿宋_GB2312" w:eastAsia="仿宋_GB2312" w:cs="仿宋_GB2312"/>
          <w:b w:val="0"/>
          <w:bCs w:val="0"/>
          <w:i w:val="0"/>
          <w:iCs w:val="0"/>
          <w:caps w:val="0"/>
          <w:color w:val="0F1115"/>
          <w:spacing w:val="0"/>
          <w:sz w:val="32"/>
          <w:szCs w:val="32"/>
          <w:shd w:val="clear" w:fill="FFFFFF"/>
        </w:rPr>
        <w:t> 部分</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党员</w:t>
      </w:r>
      <w:r>
        <w:rPr>
          <w:rFonts w:hint="eastAsia" w:ascii="仿宋_GB2312" w:hAnsi="仿宋_GB2312" w:eastAsia="仿宋_GB2312" w:cs="仿宋_GB2312"/>
          <w:b w:val="0"/>
          <w:bCs w:val="0"/>
          <w:i w:val="0"/>
          <w:iCs w:val="0"/>
          <w:caps w:val="0"/>
          <w:color w:val="0F1115"/>
          <w:spacing w:val="0"/>
          <w:sz w:val="32"/>
          <w:szCs w:val="32"/>
          <w:shd w:val="clear" w:fill="FFFFFF"/>
        </w:rPr>
        <w:t>干部存在重稳控轻化解的惯性思维，运用法治思维和法治方式破解难题的意识和能力需进一步强化。普法宣传形式创新不足，覆盖面和对群众的吸引力有待提高。</w:t>
      </w:r>
    </w:p>
    <w:p w14:paraId="321AA3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5"/>
          <w:rFonts w:hint="eastAsia" w:ascii="黑体" w:hAnsi="黑体" w:eastAsia="黑体" w:cs="黑体"/>
          <w:b w:val="0"/>
          <w:bCs w:val="0"/>
          <w:i w:val="0"/>
          <w:iCs w:val="0"/>
          <w:caps w:val="0"/>
          <w:color w:val="0F1115"/>
          <w:spacing w:val="0"/>
          <w:sz w:val="32"/>
          <w:szCs w:val="32"/>
          <w:shd w:val="clear" w:fill="FFFFFF"/>
        </w:rPr>
      </w:pPr>
      <w:r>
        <w:rPr>
          <w:rStyle w:val="5"/>
          <w:rFonts w:hint="eastAsia" w:ascii="黑体" w:hAnsi="黑体" w:eastAsia="黑体" w:cs="黑体"/>
          <w:b w:val="0"/>
          <w:bCs w:val="0"/>
          <w:i w:val="0"/>
          <w:iCs w:val="0"/>
          <w:caps w:val="0"/>
          <w:color w:val="0F1115"/>
          <w:spacing w:val="0"/>
          <w:sz w:val="32"/>
          <w:szCs w:val="32"/>
          <w:shd w:val="clear" w:fill="FFFFFF"/>
        </w:rPr>
        <w:t>三、2025年度党政主要负责人履行推进法治建设第一责任人职责情况</w:t>
      </w:r>
    </w:p>
    <w:p w14:paraId="46AF130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Style w:val="5"/>
          <w:rFonts w:hint="default" w:ascii="楷体_GB2312" w:hAnsi="楷体_GB2312" w:eastAsia="楷体_GB2312" w:cs="楷体_GB2312"/>
          <w:b w:val="0"/>
          <w:bCs w:val="0"/>
          <w:i w:val="0"/>
          <w:iCs w:val="0"/>
          <w:caps w:val="0"/>
          <w:color w:val="0F1115"/>
          <w:spacing w:val="0"/>
          <w:sz w:val="32"/>
          <w:szCs w:val="32"/>
          <w:shd w:val="clear" w:fill="FFFFFF"/>
        </w:rPr>
        <w:t>（一）强化顶层设计与责任传导，健全法治建设推进机制。 </w:t>
      </w:r>
      <w:r>
        <w:rPr>
          <w:rFonts w:hint="default" w:ascii="仿宋_GB2312" w:hAnsi="仿宋_GB2312" w:eastAsia="仿宋_GB2312" w:cs="仿宋_GB2312"/>
          <w:i w:val="0"/>
          <w:iCs w:val="0"/>
          <w:caps w:val="0"/>
          <w:color w:val="0F1115"/>
          <w:spacing w:val="0"/>
          <w:sz w:val="32"/>
          <w:szCs w:val="32"/>
          <w:shd w:val="clear" w:fill="FFFFFF"/>
        </w:rPr>
        <w:t>主要负责同志坚持高位谋划，年初即主持召开专题党组会议，审议通过年度法治政府建设具体实施方案，将信访工作法治化目标分解为可量化、可考核的重点任务。推动修订并严格执行主要负责人职责清单，将研究部署、协调督办、考核问责等关键责任制度化。坚持法治建设与业务工作同频共振，在全年各类工作会议中，将法治化进展、依法分类处理成效、规范化办理问题作为固定议题进行常态化调度研判。特别是在推动越级访治理、领导干部“大接访”等核心工作中，亲自协调解决跨部门协作与政策衔接难题，确保法治要求贯穿始终。同时，积极推动将信访工作法治化核心指标科学纳入全市高质量发展综合绩效考核体系，强化了法治“指挥棒”的导向作用。</w:t>
      </w:r>
    </w:p>
    <w:p w14:paraId="355EC5C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Style w:val="5"/>
          <w:rFonts w:hint="default" w:ascii="楷体_GB2312" w:hAnsi="楷体_GB2312" w:eastAsia="楷体_GB2312" w:cs="楷体_GB2312"/>
          <w:b w:val="0"/>
          <w:bCs w:val="0"/>
          <w:i w:val="0"/>
          <w:iCs w:val="0"/>
          <w:caps w:val="0"/>
          <w:color w:val="0F1115"/>
          <w:spacing w:val="0"/>
          <w:sz w:val="32"/>
          <w:szCs w:val="32"/>
          <w:shd w:val="clear" w:fill="FFFFFF"/>
        </w:rPr>
        <w:t>（二）深化依法决策与规范运行，提升权力行使法治化水平。 </w:t>
      </w:r>
      <w:r>
        <w:rPr>
          <w:rFonts w:hint="default" w:ascii="仿宋_GB2312" w:hAnsi="仿宋_GB2312" w:eastAsia="仿宋_GB2312" w:cs="仿宋_GB2312"/>
          <w:i w:val="0"/>
          <w:iCs w:val="0"/>
          <w:caps w:val="0"/>
          <w:color w:val="0F1115"/>
          <w:spacing w:val="0"/>
          <w:sz w:val="32"/>
          <w:szCs w:val="32"/>
          <w:shd w:val="clear" w:fill="FFFFFF"/>
        </w:rPr>
        <w:t>主要负责同志带头强化法治学习与理念培树，主持法治专题学习研讨会，并创新建立“案例复盘”、“法治讲堂”等机制，着力提升干部运用法治思维解决问题的能力。通过带头签订“三个规定”承诺书，旗帜鲜明地支持司法机关依法独立行使职权。部署开展“信访业务规范化建设提升年”活动，对信访事项的受理、办理、督办、复查复核等各环节进行全流程法治审视与规范。主要负责同志定期调阅重点信访事项案卷，对发现的程序瑕疵、法律适用问题直接批办督办，全年批办相关事项15件，有效促进了依法行政水平的提升。</w:t>
      </w:r>
    </w:p>
    <w:p w14:paraId="216640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Style w:val="5"/>
          <w:rFonts w:hint="default" w:ascii="楷体_GB2312" w:hAnsi="楷体_GB2312" w:eastAsia="楷体_GB2312" w:cs="楷体_GB2312"/>
          <w:b w:val="0"/>
          <w:bCs w:val="0"/>
          <w:i w:val="0"/>
          <w:iCs w:val="0"/>
          <w:caps w:val="0"/>
          <w:color w:val="0F1115"/>
          <w:spacing w:val="0"/>
          <w:sz w:val="32"/>
          <w:szCs w:val="32"/>
          <w:shd w:val="clear" w:fill="FFFFFF"/>
        </w:rPr>
        <w:t>（三）聚焦问题破解与队伍建设，夯实法治信访长效基础。</w:t>
      </w:r>
      <w:r>
        <w:rPr>
          <w:rFonts w:hint="default" w:ascii="仿宋_GB2312" w:hAnsi="仿宋_GB2312" w:eastAsia="仿宋_GB2312" w:cs="仿宋_GB2312"/>
          <w:i w:val="0"/>
          <w:iCs w:val="0"/>
          <w:caps w:val="0"/>
          <w:color w:val="0F1115"/>
          <w:spacing w:val="0"/>
          <w:sz w:val="32"/>
          <w:szCs w:val="32"/>
          <w:shd w:val="clear" w:fill="FFFFFF"/>
        </w:rPr>
        <w:t> 坚持问题导向，对上级督察、审计监督及业务考核中反映的法治建设短板，主要负责同志亲自抓整改落实，建立台账、跟踪问效。针对涉法涉诉信访导入不畅、普法宣传实效性不强等难点问题，牵头建立与政法机关的常态化会商机制，并指导策划采用“线上+线下”多元形式开展集中宣传月活动，提升了矛盾化解与普法宣传的实效。将法治素养和依法办事能力作为干部选拔任用、评优评先的重要依据，大力支持干部参加法律专业学习和职业资格考试。通过安排干部参与重大政策调研、积案攻坚等实战任务锤炼其法治能力，并严格落实内部法治建设述职评议制度。主要负责同志本人按规定向上级报告履职情况，自觉接受监督，形成了以上率下、全员参与的法治建设工作格局，为信访事业高质量发展提供了坚实的组织和能力保障。</w:t>
      </w:r>
    </w:p>
    <w:p w14:paraId="5DBD892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5"/>
          <w:rFonts w:hint="eastAsia" w:ascii="黑体" w:hAnsi="黑体" w:eastAsia="黑体" w:cs="黑体"/>
          <w:b w:val="0"/>
          <w:bCs w:val="0"/>
          <w:i w:val="0"/>
          <w:iCs w:val="0"/>
          <w:caps w:val="0"/>
          <w:color w:val="0F1115"/>
          <w:spacing w:val="0"/>
          <w:sz w:val="32"/>
          <w:szCs w:val="32"/>
          <w:shd w:val="clear" w:fill="FFFFFF"/>
        </w:rPr>
      </w:pPr>
      <w:r>
        <w:rPr>
          <w:rStyle w:val="5"/>
          <w:rFonts w:hint="eastAsia" w:ascii="黑体" w:hAnsi="黑体" w:eastAsia="黑体" w:cs="黑体"/>
          <w:b w:val="0"/>
          <w:bCs w:val="0"/>
          <w:i w:val="0"/>
          <w:iCs w:val="0"/>
          <w:caps w:val="0"/>
          <w:color w:val="0F1115"/>
          <w:spacing w:val="0"/>
          <w:sz w:val="32"/>
          <w:szCs w:val="32"/>
          <w:shd w:val="clear" w:fill="FFFFFF"/>
        </w:rPr>
        <w:t>四、2026年度推进法治政府建设的主要安排</w:t>
      </w:r>
    </w:p>
    <w:p w14:paraId="4306392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rPr>
        <w:t>（一）系统深化信访工作法治化实践，在健全制度与精准落地上下硬功夫。</w:t>
      </w:r>
      <w:r>
        <w:rPr>
          <w:rFonts w:hint="default" w:ascii="仿宋_GB2312" w:hAnsi="仿宋_GB2312" w:eastAsia="仿宋_GB2312" w:cs="仿宋_GB2312"/>
          <w:i w:val="0"/>
          <w:iCs w:val="0"/>
          <w:caps w:val="0"/>
          <w:color w:val="0F1115"/>
          <w:spacing w:val="0"/>
          <w:sz w:val="32"/>
          <w:szCs w:val="32"/>
          <w:shd w:val="clear" w:fill="FFFFFF"/>
        </w:rPr>
        <w:t> 一是全面对标国家信访局“五化四到位”工作标准，制定出台我市更具操作性的实施细则和配套流程指引。重点完善《依法分类处理信访诉求工作规程》，细化各类诉求的甄别标准、分流路径、责任部门和办理时限，绘制清晰易懂的“法治路径图”，并向社会公开。二是强化法治化运行的刚性约束。</w:t>
      </w:r>
      <w:r>
        <w:rPr>
          <w:rFonts w:hint="eastAsia" w:ascii="仿宋_GB2312" w:hAnsi="仿宋_GB2312" w:eastAsia="仿宋_GB2312" w:cs="仿宋_GB2312"/>
          <w:i w:val="0"/>
          <w:iCs w:val="0"/>
          <w:caps w:val="0"/>
          <w:color w:val="0F1115"/>
          <w:spacing w:val="0"/>
          <w:sz w:val="32"/>
          <w:szCs w:val="32"/>
          <w:shd w:val="clear" w:fill="FFFFFF"/>
          <w:lang w:val="en-US" w:eastAsia="zh-CN"/>
        </w:rPr>
        <w:t>建议</w:t>
      </w:r>
      <w:r>
        <w:rPr>
          <w:rFonts w:hint="default" w:ascii="仿宋_GB2312" w:hAnsi="仿宋_GB2312" w:eastAsia="仿宋_GB2312" w:cs="仿宋_GB2312"/>
          <w:i w:val="0"/>
          <w:iCs w:val="0"/>
          <w:caps w:val="0"/>
          <w:color w:val="0F1115"/>
          <w:spacing w:val="0"/>
          <w:sz w:val="32"/>
          <w:szCs w:val="32"/>
          <w:shd w:val="clear" w:fill="FFFFFF"/>
        </w:rPr>
        <w:t>升级信访信息系统，增设依法分类处理智能提示、程序节点超期预警、法律文书规范校验等功能。加大对“应受理未受理”、“应导入法定途径未导入”、“办理程序不规范”等问题的督查通报和问责力度，将法治化要求转化为可考核、可追责的具体指标。三是深化涉法涉诉信访改革。健全信访与政法单位之间的联席会议、信息互通、案件移送、结果反馈机制。在信访接待场所引入更加专业的法律咨询服务，探索设立律师值班室或法律援助工作站，引导群众优先选择诉讼、仲裁、行政复议等法定渠道解决纠纷。对已经进入司法程序或作出终结意见的，坚守法律底线，耐心做好释法明理和帮扶疏导工作，坚决维护司法权威。</w:t>
      </w:r>
    </w:p>
    <w:p w14:paraId="5693C7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楷体_GB2312" w:hAnsi="楷体_GB2312" w:eastAsia="楷体_GB2312" w:cs="楷体_GB2312"/>
          <w:i w:val="0"/>
          <w:iCs w:val="0"/>
          <w:caps w:val="0"/>
          <w:color w:val="0F1115"/>
          <w:spacing w:val="0"/>
          <w:sz w:val="32"/>
          <w:szCs w:val="32"/>
          <w:shd w:val="clear" w:fill="FFFFFF"/>
        </w:rPr>
        <w:t>（二）聚力攻坚突出矛盾风险化解，在源头治理与积案清仓上求真实效。</w:t>
      </w:r>
      <w:r>
        <w:rPr>
          <w:rFonts w:hint="default" w:ascii="仿宋_GB2312" w:hAnsi="仿宋_GB2312" w:eastAsia="仿宋_GB2312" w:cs="仿宋_GB2312"/>
          <w:i w:val="0"/>
          <w:iCs w:val="0"/>
          <w:caps w:val="0"/>
          <w:color w:val="0F1115"/>
          <w:spacing w:val="0"/>
          <w:sz w:val="32"/>
          <w:szCs w:val="32"/>
          <w:shd w:val="clear" w:fill="FFFFFF"/>
        </w:rPr>
        <w:t> 一是实施“源头治理巩固提升行动”。将工作重心进一步下沉，加强对乡镇（街道）、村（社区）信访工作法治化的指导培训，提升基层预防、识别、化解矛盾纠纷的法治能力。深化领导干部公开接访下访，推动接访地点更多向矛盾突出的一线延伸，接访形式更加注重预约接访、带案下访、上门回访。优化“接诉即办”机制，对初信初访事项，严格落实首办责任制，推行简易事项快速办理，力争一次性化解率达到更高水平。二是实施“信访积案动态清零行动”。在完成两批市级领导包案基础上，对剩余“骨头案”“钉子案”进行再梳理、再研判，实行“一案一策一专班”，综合运用法律、政策、经济、行政等手段和教育、协商、调解、疏导等办法，集中力量攻坚。同时，建立健全积案预防和动态管理机制，对新产生的重复信访事项和疑难复杂问题，及时纳入领导包案或提级办理范围，防止“边清边积”。三是聚焦重点领域深化专项治理。针对城乡建设、劳动社保、“双拖欠”等领域突出问题，</w:t>
      </w:r>
      <w:r>
        <w:rPr>
          <w:rFonts w:hint="eastAsia" w:ascii="仿宋_GB2312" w:hAnsi="仿宋_GB2312" w:eastAsia="仿宋_GB2312" w:cs="仿宋_GB2312"/>
          <w:i w:val="0"/>
          <w:iCs w:val="0"/>
          <w:caps w:val="0"/>
          <w:color w:val="0F1115"/>
          <w:spacing w:val="0"/>
          <w:sz w:val="32"/>
          <w:szCs w:val="32"/>
          <w:shd w:val="clear" w:fill="FFFFFF"/>
          <w:lang w:val="en-US" w:eastAsia="zh-CN"/>
        </w:rPr>
        <w:t>完善专项治理工作机制，</w:t>
      </w:r>
      <w:r>
        <w:rPr>
          <w:rFonts w:hint="default" w:ascii="仿宋_GB2312" w:hAnsi="仿宋_GB2312" w:eastAsia="仿宋_GB2312" w:cs="仿宋_GB2312"/>
          <w:i w:val="0"/>
          <w:iCs w:val="0"/>
          <w:caps w:val="0"/>
          <w:color w:val="0F1115"/>
          <w:spacing w:val="0"/>
          <w:sz w:val="32"/>
          <w:szCs w:val="32"/>
          <w:shd w:val="clear" w:fill="FFFFFF"/>
        </w:rPr>
        <w:t>不仅着力化解已发生的信访案件，更要深入分析共性原因，推动完善相关领域政策法规，从政策源头预防和减少矛盾产生。</w:t>
      </w:r>
    </w:p>
    <w:p w14:paraId="744726B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楷体_GB2312" w:hAnsi="楷体_GB2312" w:eastAsia="楷体_GB2312" w:cs="楷体_GB2312"/>
          <w:i w:val="0"/>
          <w:iCs w:val="0"/>
          <w:caps w:val="0"/>
          <w:color w:val="0F1115"/>
          <w:spacing w:val="0"/>
          <w:sz w:val="32"/>
          <w:szCs w:val="32"/>
          <w:shd w:val="clear" w:fill="FFFFFF"/>
        </w:rPr>
        <w:t>（三）全方位提升法治能力与素养，在队伍建设与普法宣传上创新突破。</w:t>
      </w:r>
      <w:r>
        <w:rPr>
          <w:rFonts w:hint="default" w:ascii="仿宋_GB2312" w:hAnsi="仿宋_GB2312" w:eastAsia="仿宋_GB2312" w:cs="仿宋_GB2312"/>
          <w:i w:val="0"/>
          <w:iCs w:val="0"/>
          <w:caps w:val="0"/>
          <w:color w:val="0F1115"/>
          <w:spacing w:val="0"/>
          <w:sz w:val="32"/>
          <w:szCs w:val="32"/>
          <w:shd w:val="clear" w:fill="FFFFFF"/>
        </w:rPr>
        <w:t> 一是打造专业化法治化信访铁军。制定全市信访干部法治能力提升</w:t>
      </w:r>
      <w:r>
        <w:rPr>
          <w:rFonts w:hint="eastAsia" w:ascii="仿宋_GB2312" w:hAnsi="仿宋_GB2312" w:eastAsia="仿宋_GB2312" w:cs="仿宋_GB2312"/>
          <w:i w:val="0"/>
          <w:iCs w:val="0"/>
          <w:caps w:val="0"/>
          <w:color w:val="0F1115"/>
          <w:spacing w:val="0"/>
          <w:sz w:val="32"/>
          <w:szCs w:val="32"/>
          <w:shd w:val="clear" w:fill="FFFFFF"/>
          <w:lang w:val="en-US" w:eastAsia="zh-CN"/>
        </w:rPr>
        <w:t>方案</w:t>
      </w:r>
      <w:r>
        <w:rPr>
          <w:rFonts w:hint="default" w:ascii="仿宋_GB2312" w:hAnsi="仿宋_GB2312" w:eastAsia="仿宋_GB2312" w:cs="仿宋_GB2312"/>
          <w:i w:val="0"/>
          <w:iCs w:val="0"/>
          <w:caps w:val="0"/>
          <w:color w:val="0F1115"/>
          <w:spacing w:val="0"/>
          <w:sz w:val="32"/>
          <w:szCs w:val="32"/>
          <w:shd w:val="clear" w:fill="FFFFFF"/>
        </w:rPr>
        <w:t>。丰富培训形式，在举办综合性培训班的基础上，增加专题研讨、案例教学、庭审观摩、岗位练兵等环节。建立“法治导师”制度，邀请法官、检察官、律师、高校法学专家等参与信访干部培训和实践指导。鼓励干部参加国家统一法律职业资格考试，提升队伍整体法律素养。二是构建全媒体时代普法新格局。改变传统单向灌输式普法，策划推出“以案说法”系列微视频、法治信访动漫、在线法律知识问答等新媒体产品，利用微信公众号、视频号、政务客户端等平台广泛传播。深入开展“法治信访进万家”活动，组织普法志愿者、法律顾问、业务骨干进社区、进企业、进学校、进乡村，开展面对面、互动式普法宣传。结合《信访工作条例》实施周年、宪法宣传周等重要节点，举办主题开放日、知识竞赛、征文等活动，提升普法的趣味性和参与度。三是营造办事依法、遇事找法、解决问题用法的浓厚社会氛围。加大对依法信访典型案例和先进人物的宣传力度，同时对违法上访、缠访闹访依法处置的典型案例进行适当曝光，正反结合，清晰划定法律底线和行为边界。通过持续努力，推动全社会法治意识不断增强，逐步形成理性表达诉求、依法维护权益的良好信访生态，为全市经济社会高质量发展提供更加有力的信访法治保障。</w:t>
      </w:r>
    </w:p>
    <w:p w14:paraId="420EB7E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Style w:val="5"/>
          <w:rFonts w:hint="eastAsia" w:ascii="黑体" w:hAnsi="黑体" w:eastAsia="黑体" w:cs="黑体"/>
          <w:b w:val="0"/>
          <w:bCs w:val="0"/>
          <w:i w:val="0"/>
          <w:iCs w:val="0"/>
          <w:caps w:val="0"/>
          <w:color w:val="0F1115"/>
          <w:spacing w:val="0"/>
          <w:sz w:val="32"/>
          <w:szCs w:val="32"/>
          <w:shd w:val="clear" w:fill="FFFFFF"/>
        </w:rPr>
      </w:pPr>
      <w:r>
        <w:rPr>
          <w:rStyle w:val="5"/>
          <w:rFonts w:hint="eastAsia" w:ascii="黑体" w:hAnsi="黑体" w:eastAsia="黑体" w:cs="黑体"/>
          <w:b w:val="0"/>
          <w:bCs w:val="0"/>
          <w:i w:val="0"/>
          <w:iCs w:val="0"/>
          <w:caps w:val="0"/>
          <w:color w:val="0F1115"/>
          <w:spacing w:val="0"/>
          <w:sz w:val="32"/>
          <w:szCs w:val="32"/>
          <w:shd w:val="clear" w:fill="FFFFFF"/>
        </w:rPr>
        <w:t>五、其他需要报告的情况</w:t>
      </w:r>
    </w:p>
    <w:p w14:paraId="7805BB2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无。</w:t>
      </w:r>
    </w:p>
    <w:p w14:paraId="3DD7F00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7AD7CDA0">
      <w:pPr>
        <w:pStyle w:val="2"/>
        <w:keepNext w:val="0"/>
        <w:keepLines w:val="0"/>
        <w:widowControl/>
        <w:suppressLineNumbers w:val="0"/>
        <w:shd w:val="clear" w:fill="FFFFFF"/>
        <w:spacing w:before="240" w:beforeAutospacing="0" w:after="0" w:afterAutospacing="0"/>
        <w:ind w:left="4788" w:leftChars="2280" w:right="0" w:firstLine="320" w:firstLineChars="1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枣庄市信访局</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rPr>
        <w:t>2025年12月</w:t>
      </w:r>
      <w:r>
        <w:rPr>
          <w:rFonts w:hint="eastAsia" w:ascii="仿宋_GB2312" w:hAnsi="仿宋_GB2312" w:eastAsia="仿宋_GB2312" w:cs="仿宋_GB2312"/>
          <w:i w:val="0"/>
          <w:iCs w:val="0"/>
          <w:caps w:val="0"/>
          <w:color w:val="0F1115"/>
          <w:spacing w:val="0"/>
          <w:sz w:val="32"/>
          <w:szCs w:val="32"/>
          <w:shd w:val="clear" w:fill="FFFFFF"/>
          <w:lang w:val="en-US" w:eastAsia="zh-CN"/>
        </w:rPr>
        <w:t>22</w:t>
      </w:r>
      <w:r>
        <w:rPr>
          <w:rFonts w:hint="eastAsia" w:ascii="仿宋_GB2312" w:hAnsi="仿宋_GB2312" w:eastAsia="仿宋_GB2312" w:cs="仿宋_GB2312"/>
          <w:i w:val="0"/>
          <w:iCs w:val="0"/>
          <w:caps w:val="0"/>
          <w:color w:val="0F1115"/>
          <w:spacing w:val="0"/>
          <w:sz w:val="32"/>
          <w:szCs w:val="32"/>
          <w:shd w:val="clear" w:fill="FFFFFF"/>
        </w:rPr>
        <w:t>日</w:t>
      </w:r>
    </w:p>
    <w:p w14:paraId="611885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34F5C"/>
    <w:rsid w:val="288D014F"/>
    <w:rsid w:val="2E9F4323"/>
    <w:rsid w:val="3029675B"/>
    <w:rsid w:val="312F066F"/>
    <w:rsid w:val="3E574AE3"/>
    <w:rsid w:val="42501B33"/>
    <w:rsid w:val="57193F55"/>
    <w:rsid w:val="580412C5"/>
    <w:rsid w:val="5DD959F7"/>
    <w:rsid w:val="64D15E6F"/>
    <w:rsid w:val="666F593F"/>
    <w:rsid w:val="7CDE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4292</Words>
  <Characters>4389</Characters>
  <Lines>0</Lines>
  <Paragraphs>0</Paragraphs>
  <TotalTime>47</TotalTime>
  <ScaleCrop>false</ScaleCrop>
  <LinksUpToDate>false</LinksUpToDate>
  <CharactersWithSpaces>4407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2025-12-05T03:32:00Z</dcterms:created>
  <dc:creator>Administrator</dc:creator>
  <cp:lastModifiedBy>旭旭宝宝</cp:lastModifiedBy>
  <cp:lastPrinted>2025-12-22T02:59:00Z</cp:lastPrinted>
  <dcterms:modified xsi:type="dcterms:W3CDTF">2025-12-22T03:23:00Z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eyJoZGlkIjoiZDkyNzI3ZmRiZWUwYWMwZTZjYjM4ZTdhNDYwNTNkMzgiLCJ1c2VySWQiOiI2Mzg2MjQ0NTkifQ==</vt:lpwstr>
  </property>
  <property fmtid="{D5CDD505-2E9C-101B-9397-08002B2CF9AE}" pid="4" name="ICV">
    <vt:lpwstr>E6E3B27766134B7792AC023E00A8EEC1_12</vt:lpwstr>
  </property>
</Properties>
</file>