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720" w:lineRule="exact"/>
        <w:jc w:val="center"/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枣庄市</w:t>
      </w:r>
      <w:r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  <w:t>信访局</w:t>
      </w: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2020年度政府信息公开工作</w:t>
      </w:r>
    </w:p>
    <w:p>
      <w:pPr>
        <w:widowControl/>
        <w:spacing w:line="720" w:lineRule="exact"/>
        <w:jc w:val="center"/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44"/>
          <w:szCs w:val="44"/>
        </w:rPr>
        <w:t>年度报告</w:t>
      </w:r>
    </w:p>
    <w:p>
      <w:pPr>
        <w:widowControl/>
        <w:jc w:val="center"/>
        <w:rPr>
          <w:rFonts w:ascii="方正小标宋简体" w:hAnsi="宋体" w:eastAsia="方正小标宋简体" w:cs="宋体"/>
          <w:color w:val="000000"/>
          <w:kern w:val="0"/>
          <w:sz w:val="44"/>
          <w:szCs w:val="44"/>
        </w:rPr>
      </w:pPr>
    </w:p>
    <w:p>
      <w:pPr>
        <w:widowControl/>
        <w:shd w:val="clear" w:color="auto" w:fill="FFFFFF"/>
        <w:wordWrap w:val="0"/>
        <w:spacing w:line="560" w:lineRule="exact"/>
        <w:ind w:firstLine="680"/>
        <w:rPr>
          <w:rFonts w:ascii="仿宋_GB2312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本报告按照《中华人民共和国政府信息公开条例》（以下简称《条例》和《山东省政府信息公开办法》（以下简称《办法》）规定，由枣庄市信访局编制，面向社会公开发布。全文内容包括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总体情况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、主动公开政府信息情况、收到和处理政府信息公开申请情况、政府信息公开行政复议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行政诉讼情况、存在的主要问题及改进情况、其他需要报告的事项等六个部分。报告中所列数据的统计期限为20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年1月1日至12月31日。</w:t>
      </w:r>
      <w:r>
        <w:rPr>
          <w:rFonts w:hint="eastAsia" w:ascii="仿宋_GB2312" w:hAnsi="宋体" w:eastAsia="仿宋_GB2312" w:cs="宋体"/>
          <w:bCs/>
          <w:color w:val="000000" w:themeColor="text1"/>
          <w:kern w:val="11"/>
          <w:sz w:val="32"/>
          <w:szCs w:val="32"/>
          <w14:textFill>
            <w14:solidFill>
              <w14:schemeClr w14:val="tx1"/>
            </w14:solidFill>
          </w14:textFill>
        </w:rPr>
        <w:t>如对本报告有任何疑问，请联系枣庄市</w:t>
      </w:r>
      <w:r>
        <w:rPr>
          <w:rFonts w:ascii="仿宋_GB2312" w:hAnsi="宋体" w:eastAsia="仿宋_GB2312" w:cs="宋体"/>
          <w:bCs/>
          <w:color w:val="000000" w:themeColor="text1"/>
          <w:kern w:val="11"/>
          <w:sz w:val="32"/>
          <w:szCs w:val="32"/>
          <w14:textFill>
            <w14:solidFill>
              <w14:schemeClr w14:val="tx1"/>
            </w14:solidFill>
          </w14:textFill>
        </w:rPr>
        <w:t>信访</w:t>
      </w:r>
      <w:r>
        <w:rPr>
          <w:rFonts w:ascii="仿宋_GB2312" w:hAnsi="宋体" w:eastAsia="仿宋_GB2312" w:cs="宋体"/>
          <w:bCs/>
          <w:color w:val="000000" w:themeColor="text1"/>
          <w:kern w:val="10"/>
          <w:sz w:val="32"/>
          <w:szCs w:val="32"/>
          <w14:textFill>
            <w14:solidFill>
              <w14:schemeClr w14:val="tx1"/>
            </w14:solidFill>
          </w14:textFill>
        </w:rPr>
        <w:t>局</w:t>
      </w:r>
      <w:r>
        <w:rPr>
          <w:rFonts w:hint="eastAsia" w:ascii="仿宋_GB2312" w:hAnsi="宋体" w:eastAsia="仿宋_GB2312" w:cs="宋体"/>
          <w:bCs/>
          <w:color w:val="000000" w:themeColor="text1"/>
          <w:kern w:val="10"/>
          <w:sz w:val="32"/>
          <w:szCs w:val="32"/>
          <w14:textFill>
            <w14:solidFill>
              <w14:schemeClr w14:val="tx1"/>
            </w14:solidFill>
          </w14:textFill>
        </w:rPr>
        <w:t>办公室（电话：</w:t>
      </w:r>
      <w:r>
        <w:rPr>
          <w:rFonts w:ascii="仿宋_GB2312" w:hAnsi="宋体" w:eastAsia="仿宋_GB2312" w:cs="宋体"/>
          <w:bCs/>
          <w:color w:val="000000" w:themeColor="text1"/>
          <w:kern w:val="10"/>
          <w:sz w:val="32"/>
          <w:szCs w:val="32"/>
          <w14:textFill>
            <w14:solidFill>
              <w14:schemeClr w14:val="tx1"/>
            </w14:solidFill>
          </w14:textFill>
        </w:rPr>
        <w:t>0632-3314043</w:t>
      </w:r>
      <w:r>
        <w:rPr>
          <w:rFonts w:hint="eastAsia" w:ascii="仿宋_GB2312" w:hAnsi="宋体" w:eastAsia="仿宋_GB2312" w:cs="宋体"/>
          <w:bCs/>
          <w:color w:val="000000" w:themeColor="text1"/>
          <w:kern w:val="10"/>
          <w:sz w:val="32"/>
          <w:szCs w:val="32"/>
          <w14:textFill>
            <w14:solidFill>
              <w14:schemeClr w14:val="tx1"/>
            </w14:solidFill>
          </w14:textFill>
        </w:rPr>
        <w:t>；电子邮箱：</w:t>
      </w:r>
      <w:r>
        <w:rPr>
          <w:rFonts w:ascii="仿宋_GB2312" w:hAnsi="宋体" w:eastAsia="仿宋_GB2312" w:cs="宋体"/>
          <w:bCs/>
          <w:color w:val="000000" w:themeColor="text1"/>
          <w:kern w:val="10"/>
          <w:sz w:val="32"/>
          <w:szCs w:val="32"/>
          <w14:textFill>
            <w14:solidFill>
              <w14:schemeClr w14:val="tx1"/>
            </w14:solidFill>
          </w14:textFill>
        </w:rPr>
        <w:t>zzxfbgs@zz.shandong.cn</w:t>
      </w:r>
      <w:r>
        <w:rPr>
          <w:rFonts w:hint="eastAsia" w:ascii="仿宋_GB2312" w:hAnsi="宋体" w:eastAsia="仿宋_GB2312" w:cs="宋体"/>
          <w:bCs/>
          <w:color w:val="000000" w:themeColor="text1"/>
          <w:kern w:val="10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widowControl/>
        <w:spacing w:line="560" w:lineRule="exact"/>
        <w:ind w:firstLine="640" w:firstLineChars="200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一、总体情况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hAnsi="等线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年，我局认真贯彻《条例》《办法》和《枣庄市人民政府办公室关于印发20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年枣庄市政务公开工作要点的通知》（枣政办发〔20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〕27号）要求，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市委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市政府的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坚强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领导和</w:t>
      </w: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市政务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公开办的指导下，</w:t>
      </w: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遵循依法准确、及时、有效、便民的原则，深入推进政府网站政府信息公开专栏建设，充实调整政府信息公开指南，准确及时发布政府信息公开工作年度报告，动态更新法定主动公开内容，着力研究解决工作中的困难和问题，信息公开工作的积极性、主动性不断提高，信息公开的广度和深度不断增强，工作透明度进一步提高，政务公开工作取得了良好成效。</w:t>
      </w:r>
    </w:p>
    <w:p>
      <w:pPr>
        <w:widowControl/>
        <w:shd w:val="clear" w:color="auto" w:fill="FFFFFF"/>
        <w:spacing w:line="560" w:lineRule="exact"/>
        <w:ind w:firstLine="683"/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（一）主动公开情况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hAnsi="等线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市信访局严格按照《政府信息公开条例》关于主动公开工作的要求，将“五公开”落实到办文办会程序。局机关拟制公文时，明确主动公开、依申请公开、不予公开等属性，随公文一并报批，政策文件制定时相关的政策解读材料同步起草、同步审签、同步部署、同步发布公开。推动会议开放、重大决策预公开，在决策前向社会公布决策草案、决策依据，广泛听取公众意见。根据工作需要，市信访局主要通过市政府门户网站政务公开专栏、</w:t>
      </w:r>
      <w:r>
        <w:rPr>
          <w:rFonts w:ascii="仿宋_GB2312" w:hAnsi="等线" w:eastAsia="仿宋_GB2312" w:cs="宋体"/>
          <w:color w:val="000000"/>
          <w:kern w:val="0"/>
          <w:sz w:val="32"/>
          <w:szCs w:val="32"/>
        </w:rPr>
        <w:t>市信访局门户网站</w:t>
      </w: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和“枣庄信访”微信公众号、“枣庄</w:t>
      </w:r>
      <w:r>
        <w:rPr>
          <w:rFonts w:ascii="仿宋_GB2312" w:hAnsi="等线" w:eastAsia="仿宋_GB2312" w:cs="宋体"/>
          <w:color w:val="000000"/>
          <w:kern w:val="0"/>
          <w:sz w:val="32"/>
          <w:szCs w:val="32"/>
        </w:rPr>
        <w:t>信访</w:t>
      </w: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”今日</w:t>
      </w:r>
      <w:r>
        <w:rPr>
          <w:rFonts w:ascii="仿宋_GB2312" w:hAnsi="等线" w:eastAsia="仿宋_GB2312" w:cs="宋体"/>
          <w:color w:val="000000"/>
          <w:kern w:val="0"/>
          <w:sz w:val="32"/>
          <w:szCs w:val="32"/>
        </w:rPr>
        <w:t>头条号</w:t>
      </w: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主动公开政务信息。截止2020年12月31日，在市政府网站信息公开专栏公开信息44条，在部门网站公开信息191条，在“枣庄信访”微信公众号、今日头条号上公开信息164条。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hAnsi="等线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1.机构职能情况。机构改革完成后，根据《中华人民共和国政府信息公开条例》第三章第二十条第（二）款规定，通过市政府门户网站政务公开专栏及时公开了机关职能、机构设置、办公地址、办公时间、联系方式、负责人姓名等信息。根据领导班子成员调整分工情况，及时公开了班子成员</w:t>
      </w:r>
      <w:r>
        <w:rPr>
          <w:rFonts w:ascii="仿宋_GB2312" w:hAnsi="等线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762000</wp:posOffset>
            </wp:positionV>
            <wp:extent cx="4981575" cy="2554605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任务分工。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hAnsi="等线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等线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5000625</wp:posOffset>
            </wp:positionV>
            <wp:extent cx="5274310" cy="2659380"/>
            <wp:effectExtent l="0" t="0" r="2540" b="7620"/>
            <wp:wrapSquare wrapText="bothSides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2.财政预决算情况。</w:t>
      </w:r>
      <w:r>
        <w:rPr>
          <w:rFonts w:hint="eastAsia" w:ascii="仿宋_GB2312" w:hAnsi="等线" w:eastAsia="仿宋_GB2312" w:cs="宋体"/>
          <w:color w:val="000000"/>
          <w:kern w:val="0"/>
          <w:sz w:val="32"/>
          <w:szCs w:val="32"/>
        </w:rPr>
        <w:t>市信访局着力加强重点领域信息主动公开，根据《中华人民共和国政府信息公开条例》第三章第二十条第（七）款要求，坚持“公开是原则，不公开是例外”的要求，确保应公开尽公开，及时通过市政府网站信息公开专栏发布部门财政预算、决算及情况说明等重点领域信息，确保信息公开透明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1447800</wp:posOffset>
            </wp:positionV>
            <wp:extent cx="5274310" cy="2401570"/>
            <wp:effectExtent l="0" t="0" r="2540" b="0"/>
            <wp:wrapSquare wrapText="bothSides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3.业务工作情况。加大业务公开力度，对日常重要工作信息、业务动态、活动安排等及时公开，对基层信访工作动态和先进经验做法及时公开宣传，推动全市信访工作水平不断提高。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3665855</wp:posOffset>
            </wp:positionV>
            <wp:extent cx="5274310" cy="254190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4.公开决策情况。加大部门会议公开力度，对局党组研究的重要事项及时公开，年内共公开10次，并对会议内容进行深入解读。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5.其他工作情况。及时公开市信访局承担的重点工作任务和《政府工作报告》确定事项办理进度，每季度公开一次，明确进展成效和下步举措。积极做好积案化解、领导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接访、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干部培训等政务信息公开，确保公众及时掌握信访工作动态。组织开展人民建议征集、信访条例宣传周和宪法宣传月活动，营造依法信访氛围。</w:t>
      </w:r>
    </w:p>
    <w:p>
      <w:pPr>
        <w:widowControl/>
        <w:shd w:val="clear" w:color="auto" w:fill="FFFFFF"/>
        <w:spacing w:line="560" w:lineRule="exact"/>
        <w:ind w:firstLine="683"/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（二）依申请公开情况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2020年，市信访局共收到依申请公开信息3条，全部按照要求按期给予规范性告知，保障了申请人的知情权和监督权。</w:t>
      </w:r>
    </w:p>
    <w:p>
      <w:pPr>
        <w:widowControl/>
        <w:shd w:val="clear" w:color="auto" w:fill="FFFFFF"/>
        <w:spacing w:line="560" w:lineRule="exact"/>
        <w:ind w:firstLine="683"/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（三）政府信息管理情况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加强组织领导，优化工作体制。发挥政务公开工作领导小组作用，切实加强对政府信息公开的领导。及时组织干部学习《中华人民共和国政府信息公开条例》《山东省政府信息公开办法》以及有关规定，制定了培训计划，及时组织落实。积极参加省信访局和市政府办公室组织的政务公开培训，及时传达会议精神，确保政务公开工作做好做细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是规范工作程序，落实保密要求。按照《条例》和市政府有关工作要求，制定《枣庄市信访局信息公开指南》，规范公开信息工作的程序,使我局政府信息公开工作有据可依、有章可循。推进基层政务公开标准化规范化建设，严格规范公开程序。严格按照“谁主管、谁公开”、“谁公开、谁审查”、“谁审查、谁负责”和“先审查、后公开”的要求，加强对拟公开信息的保密审查，规范完善了保密审查流程与分工，信息公开前，需经办公室主任、分管领导审批、主要负责人审查确定后按“三审”制公开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三是完善管理机制，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提高公开水平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根据《条例》要求，进一步建立健全政府信息主动公开制度、依申请公开制度、政府信息公开保密审查制度、信息公开工作责任追究制度等各类制度。通过完善工作机制，构建信息平台，保障了部门信息公开工作依法、及时、准确、有序地开展，为社会提供了便捷的信息公开服务。</w:t>
      </w:r>
    </w:p>
    <w:p>
      <w:pPr>
        <w:widowControl/>
        <w:shd w:val="clear" w:color="auto" w:fill="FFFFFF"/>
        <w:spacing w:line="560" w:lineRule="exact"/>
        <w:ind w:firstLine="683"/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（四）平台建设情况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一是优化政务公开专栏。根据市政府办公室要求，对平台目录进行了优化调整，确保信息发布准确。严格落实网络意识形态责任制，加强政府信息发布审核，把好政治关、政策关、文字关。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1167765</wp:posOffset>
            </wp:positionV>
            <wp:extent cx="5236845" cy="3609340"/>
            <wp:effectExtent l="0" t="0" r="1905" b="0"/>
            <wp:wrapSquare wrapText="bothSides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是完善新媒体平台。用好“枣庄信访”公众号、今日头条号等平台及时公开政务信息。加强与宣传、网信等部门以及新闻媒体的沟通联系，充分运用广播、电视、报纸、新闻网站等各级各类新闻媒体资源，做好政务公开工作。加强政民互动，在市信访局网站、“枣庄信访”微信公众号开设网上信访受理平台链接，为群众反映信访诉求提高便捷通道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3354705</wp:posOffset>
            </wp:positionV>
            <wp:extent cx="5274310" cy="3956050"/>
            <wp:effectExtent l="0" t="0" r="2540" b="6350"/>
            <wp:wrapSquare wrapText="bothSides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是改造接访场所平台。对市级候访场所进行改造，划设安检区、导访区、登记区、自助区、候访区、接谈区6个功能区，形成集联合接访、调解听证、视频接访、网上信访、会商研判等业务于一体的综合性来访接待中心。将信访法规政策、来访接待处理流程等印成明白纸，摆放在窗口显著位置，方便来访群众随时取用；设置网上信访自助系统，方便群众自助信访。通过接访大厅LED大屏滚动播放依法信访宣传片、违法信访警示案例，让群众群众一站式了解信访法规，引导群众理性维权、依法维权。</w:t>
      </w:r>
    </w:p>
    <w:p>
      <w:pPr>
        <w:widowControl/>
        <w:shd w:val="clear" w:color="auto" w:fill="FFFFFF"/>
        <w:spacing w:line="560" w:lineRule="exact"/>
        <w:ind w:firstLine="683"/>
        <w:rPr>
          <w:rFonts w:ascii="楷体_GB2312" w:eastAsia="楷体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（五）监督保障情况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加强组织领导。成立了政府信息公开工作领导小组，并配备了专职和兼职工作人员各1名。由局分管负责人具体指导、监督全局信息公开工作，各科室按职责要求分工落实政府信息公开各项工作，办公室负责政务公开日常工作。各科室严格按照政务公开工作要求，明确专人负责，做到了分工具体、责任明确，确保了政务公开工作落到实处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是加强干部培训。将《中华人民共和国政府信息公开条例》纳入培训计划，通过学习、考核和讨论，提高工作人员履行职责过程中公开政府信息的自觉性。按照“统一要求，自行组织“的原则，在全局集中培训的前提下，由各科室自行组织相应的业务培训，加强对政务公开的内容、程序、方式、时间及监督管理等工作的培训，使政务公开做到有制可循、有制可依、依制办事、违制必究。</w:t>
      </w:r>
    </w:p>
    <w:p>
      <w:pPr>
        <w:widowControl/>
        <w:shd w:val="clear" w:color="auto" w:fill="FFFFFF"/>
        <w:spacing w:line="560" w:lineRule="exact"/>
        <w:ind w:firstLine="683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是强化监督评价。对中共中央办公厅、国务院办公厅《关于全面推进政务公开工作的意见》及其实施细则安排部署的各项工作进行“回头看”，逐项对照自查落实情况。将公开情况作为绩效考核评价的重要内容，工落实不到位的予以通报批评；对违反信息公开条例、不履行公开义务的，依法规追究责任。</w:t>
      </w:r>
    </w:p>
    <w:p>
      <w:pPr>
        <w:ind w:firstLine="560" w:firstLineChars="200"/>
        <w:rPr>
          <w:rFonts w:ascii="黑体" w:hAnsi="黑体" w:eastAsia="黑体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  <w:t>二、主动公开政府信息公开情况</w:t>
      </w:r>
    </w:p>
    <w:tbl>
      <w:tblPr>
        <w:tblStyle w:val="6"/>
        <w:tblW w:w="8708" w:type="dxa"/>
        <w:jc w:val="center"/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3"/>
        <w:gridCol w:w="17"/>
        <w:gridCol w:w="2095"/>
        <w:gridCol w:w="1505"/>
        <w:gridCol w:w="2018"/>
      </w:tblGrid>
      <w:tr>
        <w:trPr>
          <w:trHeight w:val="267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本年新制作数量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本年新</w:t>
            </w:r>
          </w:p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公开数量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对外公开</w:t>
            </w:r>
          </w:p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规章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规范性文件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行政许可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其他对外管理服务事项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本年增/减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行政处罚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行政强制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上一年项目数量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30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行政事业性收费</w:t>
            </w:r>
          </w:p>
        </w:tc>
        <w:tc>
          <w:tcPr>
            <w:tcW w:w="211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hint="eastAsia"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  <w:jc w:val="center"/>
        </w:trPr>
        <w:tc>
          <w:tcPr>
            <w:tcW w:w="870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  <w:jc w:val="center"/>
        </w:trPr>
        <w:tc>
          <w:tcPr>
            <w:tcW w:w="309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信息内容</w:t>
            </w:r>
          </w:p>
        </w:tc>
        <w:tc>
          <w:tcPr>
            <w:tcW w:w="20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采购项目数量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309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政府集中采购</w:t>
            </w:r>
          </w:p>
        </w:tc>
        <w:tc>
          <w:tcPr>
            <w:tcW w:w="209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0</w:t>
            </w:r>
          </w:p>
        </w:tc>
        <w:tc>
          <w:tcPr>
            <w:tcW w:w="352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kern w:val="0"/>
                <w:sz w:val="24"/>
              </w:rPr>
            </w:pPr>
            <w:r>
              <w:rPr>
                <w:rFonts w:ascii="仿宋" w:hAnsi="仿宋" w:eastAsia="仿宋" w:cs="Times New Roman"/>
                <w:kern w:val="0"/>
                <w:sz w:val="24"/>
              </w:rPr>
              <w:t>0</w:t>
            </w:r>
          </w:p>
        </w:tc>
      </w:tr>
    </w:tbl>
    <w:p>
      <w:pPr>
        <w:ind w:firstLine="560" w:firstLineChars="200"/>
        <w:rPr>
          <w:rFonts w:ascii="黑体" w:hAnsi="黑体" w:eastAsia="黑体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  <w:t>三、收到和处理政府信息公开申请情况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5"/>
        <w:gridCol w:w="1418"/>
        <w:gridCol w:w="2835"/>
        <w:gridCol w:w="850"/>
        <w:gridCol w:w="567"/>
        <w:gridCol w:w="567"/>
        <w:gridCol w:w="567"/>
        <w:gridCol w:w="567"/>
        <w:gridCol w:w="540"/>
        <w:gridCol w:w="63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477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（本列数据的勾稽关系为：第一项加第二项之和，</w:t>
            </w:r>
          </w:p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等于第三项加第四项之和）</w:t>
            </w:r>
          </w:p>
        </w:tc>
        <w:tc>
          <w:tcPr>
            <w:tcW w:w="4293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2808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35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  <w:jc w:val="center"/>
        </w:trPr>
        <w:tc>
          <w:tcPr>
            <w:tcW w:w="477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其他</w:t>
            </w:r>
          </w:p>
        </w:tc>
        <w:tc>
          <w:tcPr>
            <w:tcW w:w="635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25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141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00" w:firstLineChars="100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出具已获取信息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eastAsia" w:ascii="仿宋" w:hAnsi="仿宋" w:eastAsia="仿宋" w:cs="Times New Roman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24"/>
                <w:lang w:val="en-US" w:eastAsia="zh-CN"/>
              </w:rPr>
              <w:t>1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" w:hAnsi="仿宋" w:eastAsia="仿宋" w:cs="Times New Roman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24"/>
                <w:lang w:val="en-US" w:eastAsia="zh-CN"/>
              </w:rPr>
              <w:t>1</w:t>
            </w:r>
            <w:bookmarkStart w:id="0" w:name="_GoBack"/>
            <w:bookmarkEnd w:id="0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2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77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  <w:tc>
          <w:tcPr>
            <w:tcW w:w="6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ascii="仿宋" w:hAnsi="仿宋" w:eastAsia="仿宋" w:cs="Times New Roman"/>
                <w:sz w:val="24"/>
              </w:rPr>
              <w:t>0</w:t>
            </w:r>
          </w:p>
        </w:tc>
      </w:tr>
    </w:tbl>
    <w:p>
      <w:pPr>
        <w:ind w:firstLine="560" w:firstLineChars="200"/>
        <w:rPr>
          <w:rFonts w:ascii="黑体" w:hAnsi="黑体" w:eastAsia="黑体" w:cs="黑体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20"/>
          <w:sz w:val="32"/>
          <w:szCs w:val="32"/>
          <w14:textFill>
            <w14:solidFill>
              <w14:schemeClr w14:val="tx1"/>
            </w14:solidFill>
          </w14:textFill>
        </w:rPr>
        <w:t>四、政府信息公开行政复议、行政诉讼情况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仿宋" w:hAnsi="仿宋" w:eastAsia="仿宋" w:cs="Times New Roman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ascii="仿宋" w:hAnsi="仿宋" w:eastAsia="仿宋" w:cs="Times New Roman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hint="eastAsia" w:ascii="仿宋" w:hAnsi="仿宋" w:eastAsia="仿宋" w:cs="Times New Roma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0</w:t>
            </w:r>
          </w:p>
        </w:tc>
      </w:tr>
    </w:tbl>
    <w:p>
      <w:pPr>
        <w:widowControl/>
        <w:spacing w:line="560" w:lineRule="exact"/>
        <w:ind w:firstLine="640" w:firstLineChars="200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五、存在的主要问题及改进情况</w:t>
      </w:r>
    </w:p>
    <w:p>
      <w:pPr>
        <w:widowControl/>
        <w:spacing w:line="560" w:lineRule="exact"/>
        <w:ind w:firstLine="640" w:firstLineChars="200"/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2020年，我局政府信息公开工作虽取得了一定成绩，但也还存在一些问题：如，部分栏目内容不够丰富；信息更新还不够及时高效；政府信息公开人员的业务水平、公开意识还需进一步提高；公开内容不具体，重点不突出，与群众需求还有差距；公开形式的便民性不足、覆盖面不广；主动公开工作的日常化、常态化有待进一步加强等。结合以上不足，我局将采取以下措施完善信息公开工作：</w:t>
      </w:r>
      <w:r>
        <w:rPr>
          <w:rFonts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2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提高公开意识</w:t>
      </w: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，建立长效</w:t>
      </w:r>
      <w:r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机制</w:t>
      </w: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定期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召开专题会议安排部署政务公开工作，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认真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制定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政务公开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年度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工作要点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将政务公开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工作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作为一项长期化、日常化和制度化的工作，严格按照市政务公开办工作要求，进一步统一思想，深化认识，确保组织到位、措施到位、责任到位。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2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（二）严格</w:t>
      </w:r>
      <w:r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规范程序</w:t>
      </w: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，强化流程</w:t>
      </w:r>
      <w:r>
        <w:rPr>
          <w:rFonts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管理</w:t>
      </w: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严格规范信息的收集、编制、审查、发布、监管等各环节程序，明确有关信息发布的职责分工，加强监督管理，并建立健全考核制度和责任追究制度，避免互相推诿、遗漏信息等情况的发生。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2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（三）丰富公开内容，创新公开形式。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确保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法定公开内容的及时性、准确性，拓宽主动公开范围，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充分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发挥微信公众号、今日头条号、抖音号等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政务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新媒体优势，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群众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喜闻乐见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的形式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广泛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发布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丰富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多样的信息内容，</w:t>
      </w:r>
      <w:r>
        <w:rPr>
          <w:rFonts w:hint="eastAsia" w:ascii="仿宋_GB2312" w:eastAsia="仿宋_GB2312"/>
          <w:sz w:val="32"/>
          <w:szCs w:val="32"/>
        </w:rPr>
        <w:t>统筹推进政务新媒体与政府网站的协同联动、融合发展。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2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（四）加大教育培训，提升业务水平。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加强业务培训，科学化制定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培训计划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，突出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培训课程的针对性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指导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性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同时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拓宽培训范围，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把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区（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镇街负责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政务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公开工作人员纳入年度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政务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公开培训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范围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，提升全市信访系统政务公开业务规范化水平，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促进政府信息公开工作深入开展。</w:t>
      </w:r>
    </w:p>
    <w:p>
      <w:pPr>
        <w:widowControl/>
        <w:spacing w:line="560" w:lineRule="exact"/>
        <w:ind w:firstLine="640" w:firstLineChars="200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六、其他需要报告的事项</w:t>
      </w:r>
    </w:p>
    <w:p>
      <w:pPr>
        <w:widowControl/>
        <w:spacing w:line="560" w:lineRule="exact"/>
        <w:ind w:firstLine="640" w:firstLineChars="200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2020年，枣庄市信访局未收到人大代表建议、政协委员提案。</w:t>
      </w:r>
    </w:p>
    <w:p>
      <w:pPr>
        <w:spacing w:line="56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80" w:firstLineChars="19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枣庄</w:t>
      </w:r>
      <w:r>
        <w:rPr>
          <w:rFonts w:ascii="仿宋_GB2312" w:eastAsia="仿宋_GB2312"/>
          <w:sz w:val="32"/>
          <w:szCs w:val="32"/>
        </w:rPr>
        <w:t>市信访局</w:t>
      </w:r>
    </w:p>
    <w:p>
      <w:pPr>
        <w:spacing w:line="560" w:lineRule="exact"/>
        <w:ind w:firstLine="5920" w:firstLineChars="185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ascii="仿宋_GB2312" w:eastAsia="仿宋_GB2312"/>
          <w:sz w:val="32"/>
          <w:szCs w:val="32"/>
        </w:rPr>
        <w:t>22</w:t>
      </w:r>
      <w:r>
        <w:rPr>
          <w:rFonts w:hint="eastAsia" w:ascii="仿宋_GB2312" w:eastAsia="仿宋_GB2312"/>
          <w:sz w:val="32"/>
          <w:szCs w:val="32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1194601"/>
      <w:docPartObj>
        <w:docPartGallery w:val="AutoText"/>
      </w:docPartObj>
    </w:sdtPr>
    <w:sdtEndPr>
      <w:rPr>
        <w:rFonts w:asciiTheme="minorEastAsia" w:hAnsiTheme="minorEastAsia"/>
        <w:sz w:val="24"/>
        <w:szCs w:val="24"/>
      </w:rPr>
    </w:sdtEndPr>
    <w:sdtContent>
      <w:p>
        <w:pPr>
          <w:pStyle w:val="3"/>
          <w:jc w:val="center"/>
          <w:rPr>
            <w:rFonts w:asciiTheme="minorEastAsia" w:hAnsiTheme="minorEastAsia"/>
            <w:sz w:val="24"/>
            <w:szCs w:val="24"/>
          </w:rPr>
        </w:pP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 xml:space="preserve">PAGE   \* MERGEFORMAT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>
          <w:rPr>
            <w:rFonts w:asciiTheme="minorEastAsia" w:hAnsiTheme="minorEastAsia"/>
            <w:sz w:val="24"/>
            <w:szCs w:val="24"/>
            <w:lang w:val="zh-CN"/>
          </w:rPr>
          <w:t>-</w:t>
        </w:r>
        <w:r>
          <w:rPr>
            <w:rFonts w:asciiTheme="minorEastAsia" w:hAnsiTheme="minorEastAsia"/>
            <w:sz w:val="24"/>
            <w:szCs w:val="24"/>
          </w:rPr>
          <w:t xml:space="preserve"> 11 -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99"/>
  <w:drawingGridVerticalSpacing w:val="28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B9"/>
    <w:rsid w:val="000349CA"/>
    <w:rsid w:val="00043A31"/>
    <w:rsid w:val="000514FF"/>
    <w:rsid w:val="000542DF"/>
    <w:rsid w:val="000A339F"/>
    <w:rsid w:val="000B0CA1"/>
    <w:rsid w:val="000D5CB6"/>
    <w:rsid w:val="000F0EEC"/>
    <w:rsid w:val="000F6AE8"/>
    <w:rsid w:val="00113757"/>
    <w:rsid w:val="00116151"/>
    <w:rsid w:val="00133F73"/>
    <w:rsid w:val="0013461A"/>
    <w:rsid w:val="0013485E"/>
    <w:rsid w:val="0014469A"/>
    <w:rsid w:val="00155257"/>
    <w:rsid w:val="00166ECB"/>
    <w:rsid w:val="001739CA"/>
    <w:rsid w:val="001851D2"/>
    <w:rsid w:val="001906AD"/>
    <w:rsid w:val="001953F3"/>
    <w:rsid w:val="001A358F"/>
    <w:rsid w:val="001A5123"/>
    <w:rsid w:val="001D0ACA"/>
    <w:rsid w:val="001D6E93"/>
    <w:rsid w:val="001E2BE0"/>
    <w:rsid w:val="001E73D5"/>
    <w:rsid w:val="00211ED0"/>
    <w:rsid w:val="00214130"/>
    <w:rsid w:val="002153EC"/>
    <w:rsid w:val="002432A9"/>
    <w:rsid w:val="00265757"/>
    <w:rsid w:val="00266427"/>
    <w:rsid w:val="00296456"/>
    <w:rsid w:val="002A78EC"/>
    <w:rsid w:val="002D1C53"/>
    <w:rsid w:val="002D570A"/>
    <w:rsid w:val="002E3C77"/>
    <w:rsid w:val="002F189C"/>
    <w:rsid w:val="0030283C"/>
    <w:rsid w:val="00304927"/>
    <w:rsid w:val="003320E1"/>
    <w:rsid w:val="0034767A"/>
    <w:rsid w:val="003625E7"/>
    <w:rsid w:val="003723EE"/>
    <w:rsid w:val="00387E3B"/>
    <w:rsid w:val="003914D3"/>
    <w:rsid w:val="00393B49"/>
    <w:rsid w:val="00396857"/>
    <w:rsid w:val="003A0C9F"/>
    <w:rsid w:val="003C1F86"/>
    <w:rsid w:val="003D54F1"/>
    <w:rsid w:val="003E1C5E"/>
    <w:rsid w:val="003F1FE7"/>
    <w:rsid w:val="00441F6B"/>
    <w:rsid w:val="0044253C"/>
    <w:rsid w:val="00455AD1"/>
    <w:rsid w:val="00462587"/>
    <w:rsid w:val="004D71FA"/>
    <w:rsid w:val="004D7C88"/>
    <w:rsid w:val="004F573C"/>
    <w:rsid w:val="005116E4"/>
    <w:rsid w:val="00531A74"/>
    <w:rsid w:val="00540BF0"/>
    <w:rsid w:val="005568E6"/>
    <w:rsid w:val="00560957"/>
    <w:rsid w:val="005939FA"/>
    <w:rsid w:val="005A4572"/>
    <w:rsid w:val="005E1BA9"/>
    <w:rsid w:val="00645138"/>
    <w:rsid w:val="006718B4"/>
    <w:rsid w:val="0069605A"/>
    <w:rsid w:val="006A2920"/>
    <w:rsid w:val="006A29E9"/>
    <w:rsid w:val="006D320B"/>
    <w:rsid w:val="007010B5"/>
    <w:rsid w:val="00710311"/>
    <w:rsid w:val="0073231B"/>
    <w:rsid w:val="00751781"/>
    <w:rsid w:val="007658BD"/>
    <w:rsid w:val="00777A54"/>
    <w:rsid w:val="007810C2"/>
    <w:rsid w:val="007815AF"/>
    <w:rsid w:val="0081798A"/>
    <w:rsid w:val="00837FA6"/>
    <w:rsid w:val="00840D35"/>
    <w:rsid w:val="0085550C"/>
    <w:rsid w:val="00861B3F"/>
    <w:rsid w:val="0087389B"/>
    <w:rsid w:val="008A3297"/>
    <w:rsid w:val="008D2CD8"/>
    <w:rsid w:val="008D6A09"/>
    <w:rsid w:val="008F383B"/>
    <w:rsid w:val="008F5D08"/>
    <w:rsid w:val="00912313"/>
    <w:rsid w:val="00924F44"/>
    <w:rsid w:val="00952CB9"/>
    <w:rsid w:val="00957CC7"/>
    <w:rsid w:val="009620BD"/>
    <w:rsid w:val="009703E7"/>
    <w:rsid w:val="0097596C"/>
    <w:rsid w:val="009B34CA"/>
    <w:rsid w:val="00A365CE"/>
    <w:rsid w:val="00A54F86"/>
    <w:rsid w:val="00AA2128"/>
    <w:rsid w:val="00AA6E3F"/>
    <w:rsid w:val="00AB1E0D"/>
    <w:rsid w:val="00B00300"/>
    <w:rsid w:val="00B016D2"/>
    <w:rsid w:val="00B0198B"/>
    <w:rsid w:val="00B14B18"/>
    <w:rsid w:val="00B24AA4"/>
    <w:rsid w:val="00B2724B"/>
    <w:rsid w:val="00B67A56"/>
    <w:rsid w:val="00B85266"/>
    <w:rsid w:val="00BA0DC5"/>
    <w:rsid w:val="00BB5732"/>
    <w:rsid w:val="00BD137C"/>
    <w:rsid w:val="00BE6226"/>
    <w:rsid w:val="00BE6766"/>
    <w:rsid w:val="00BF0EF7"/>
    <w:rsid w:val="00C05677"/>
    <w:rsid w:val="00C1232E"/>
    <w:rsid w:val="00C12DC4"/>
    <w:rsid w:val="00C25A2F"/>
    <w:rsid w:val="00C35176"/>
    <w:rsid w:val="00C42815"/>
    <w:rsid w:val="00C46306"/>
    <w:rsid w:val="00C73956"/>
    <w:rsid w:val="00C74D1B"/>
    <w:rsid w:val="00C75B2F"/>
    <w:rsid w:val="00C76BBE"/>
    <w:rsid w:val="00CB5E70"/>
    <w:rsid w:val="00CE6DB5"/>
    <w:rsid w:val="00D219EF"/>
    <w:rsid w:val="00D37177"/>
    <w:rsid w:val="00D5779D"/>
    <w:rsid w:val="00D675C8"/>
    <w:rsid w:val="00D93A77"/>
    <w:rsid w:val="00DA1CB2"/>
    <w:rsid w:val="00DA51A9"/>
    <w:rsid w:val="00DB79B0"/>
    <w:rsid w:val="00DD6B2E"/>
    <w:rsid w:val="00E44C42"/>
    <w:rsid w:val="00E459B1"/>
    <w:rsid w:val="00E50EA6"/>
    <w:rsid w:val="00E645AD"/>
    <w:rsid w:val="00E84D12"/>
    <w:rsid w:val="00EB4F7D"/>
    <w:rsid w:val="00EC35D9"/>
    <w:rsid w:val="00EC3FF4"/>
    <w:rsid w:val="00ED32C2"/>
    <w:rsid w:val="00ED5278"/>
    <w:rsid w:val="00EE50E7"/>
    <w:rsid w:val="00EF0890"/>
    <w:rsid w:val="00F00436"/>
    <w:rsid w:val="00F040C9"/>
    <w:rsid w:val="00F06E8E"/>
    <w:rsid w:val="00F3248B"/>
    <w:rsid w:val="00F34B2D"/>
    <w:rsid w:val="00F37E49"/>
    <w:rsid w:val="00F65CBC"/>
    <w:rsid w:val="00FA1A2D"/>
    <w:rsid w:val="00FB0F44"/>
    <w:rsid w:val="00FC1D9D"/>
    <w:rsid w:val="FEDBB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745</Words>
  <Characters>4248</Characters>
  <Lines>35</Lines>
  <Paragraphs>9</Paragraphs>
  <TotalTime>209</TotalTime>
  <ScaleCrop>false</ScaleCrop>
  <LinksUpToDate>false</LinksUpToDate>
  <CharactersWithSpaces>4984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2021-01-19T11:29:00Z</dcterms:created>
  <dc:creator>Administrator</dc:creator>
  <cp:lastModifiedBy>user</cp:lastModifiedBy>
  <cp:lastPrinted>2021-01-22T08:55:00Z</cp:lastPrinted>
  <dcterms:modified xsi:type="dcterms:W3CDTF">2021-05-20T11:26:39Z</dcterms:modified>
  <cp:revision>222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